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В соответствии с </w:t>
      </w:r>
      <w:hyperlink r:id="rId4" w:anchor="z1579" w:tgtFrame="_blank" w:history="1">
        <w:r w:rsidRPr="00540DE8">
          <w:rPr>
            <w:rFonts w:ascii="Arial" w:hAnsi="Arial" w:cs="Arial"/>
            <w:color w:val="0000FF"/>
            <w:sz w:val="21"/>
            <w:u w:val="single"/>
          </w:rPr>
          <w:t>пунктом 3</w:t>
        </w:r>
      </w:hyperlink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t>статьи 156 Кодекса Республики Казахстан от 18 сентября 2009 года «О здоровье народа и системе здравоохранения»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b/>
          <w:bCs/>
          <w:color w:val="000000"/>
          <w:sz w:val="21"/>
          <w:szCs w:val="21"/>
        </w:rPr>
        <w:t>ПРИКАЗЫВАЮ: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0" w:name="z11"/>
      <w:bookmarkEnd w:id="0"/>
      <w:r w:rsidRPr="00540DE8">
        <w:rPr>
          <w:rFonts w:ascii="Arial" w:hAnsi="Arial" w:cs="Arial"/>
          <w:color w:val="000000"/>
          <w:sz w:val="21"/>
          <w:szCs w:val="21"/>
        </w:rPr>
        <w:t>      1. Утвердить прилагаемые </w:t>
      </w:r>
      <w:hyperlink r:id="rId5" w:anchor="z9" w:tgtFrame="_blank" w:history="1">
        <w:r w:rsidRPr="00540DE8">
          <w:rPr>
            <w:rFonts w:ascii="Arial" w:hAnsi="Arial" w:cs="Arial"/>
            <w:color w:val="0000FF"/>
            <w:sz w:val="21"/>
            <w:u w:val="single"/>
          </w:rPr>
          <w:t>Правила</w:t>
        </w:r>
      </w:hyperlink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t>хранения, транспортировки и использования профилактических (иммунобиологических, диагностических, дезинфицирующих) препаратов.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1" w:name="z12"/>
      <w:bookmarkEnd w:id="1"/>
      <w:r w:rsidRPr="00540DE8">
        <w:rPr>
          <w:rFonts w:ascii="Arial" w:hAnsi="Arial" w:cs="Arial"/>
          <w:color w:val="000000"/>
          <w:sz w:val="21"/>
          <w:szCs w:val="21"/>
        </w:rPr>
        <w:t xml:space="preserve">      2.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Комитету по защите прав потребителей Министерства национальной экономики Республики Казахстан (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Матишев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А.Б.) обеспечить в установленном законодательном порядке: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3) размещение настоящего приказа на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официальном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интернет-ресурсе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Министерства национальной экономики Республики Казахстан.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2" w:name="z13"/>
      <w:bookmarkEnd w:id="2"/>
      <w:r w:rsidRPr="00540DE8">
        <w:rPr>
          <w:rFonts w:ascii="Arial" w:hAnsi="Arial" w:cs="Arial"/>
          <w:color w:val="000000"/>
          <w:sz w:val="21"/>
          <w:szCs w:val="21"/>
        </w:rPr>
        <w:t xml:space="preserve">      3. Контроль за исполнением настоящего приказа возложить на </w:t>
      </w:r>
      <w:proofErr w:type="spellStart"/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Вице-министра</w:t>
      </w:r>
      <w:proofErr w:type="spellEnd"/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национальной экономики Республики Казахстан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Жаксылыкова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Т.М.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3" w:name="z14"/>
      <w:bookmarkEnd w:id="3"/>
      <w:r w:rsidRPr="00540DE8">
        <w:rPr>
          <w:rFonts w:ascii="Arial" w:hAnsi="Arial" w:cs="Arial"/>
          <w:color w:val="000000"/>
          <w:sz w:val="21"/>
          <w:szCs w:val="21"/>
        </w:rPr>
        <w:t>      4. Настоящий приказ вводится в действие по истечении десяти календарных дней со дня его первого официального опубликования.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i/>
          <w:iCs/>
          <w:color w:val="000000"/>
          <w:sz w:val="21"/>
          <w:szCs w:val="21"/>
        </w:rPr>
        <w:t xml:space="preserve">      Министр Е.                                 </w:t>
      </w:r>
      <w:proofErr w:type="spellStart"/>
      <w:r w:rsidRPr="00540DE8">
        <w:rPr>
          <w:rFonts w:ascii="Arial" w:hAnsi="Arial" w:cs="Arial"/>
          <w:i/>
          <w:iCs/>
          <w:color w:val="000000"/>
          <w:sz w:val="21"/>
          <w:szCs w:val="21"/>
        </w:rPr>
        <w:t>Досаев</w:t>
      </w:r>
      <w:proofErr w:type="spellEnd"/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i/>
          <w:iCs/>
          <w:color w:val="000000"/>
          <w:sz w:val="21"/>
          <w:szCs w:val="21"/>
        </w:rPr>
        <w:t>      «СОГЛАСОВАН»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r w:rsidRPr="00540DE8">
        <w:rPr>
          <w:rFonts w:ascii="Arial" w:hAnsi="Arial" w:cs="Arial"/>
          <w:i/>
          <w:iCs/>
          <w:color w:val="000000"/>
          <w:sz w:val="21"/>
          <w:szCs w:val="21"/>
        </w:rPr>
        <w:t>      Министр здравоохранения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r w:rsidRPr="00540DE8">
        <w:rPr>
          <w:rFonts w:ascii="Arial" w:hAnsi="Arial" w:cs="Arial"/>
          <w:i/>
          <w:iCs/>
          <w:color w:val="000000"/>
          <w:sz w:val="21"/>
          <w:szCs w:val="21"/>
        </w:rPr>
        <w:t>      и социального развития</w:t>
      </w:r>
      <w:r w:rsidRPr="00540DE8">
        <w:rPr>
          <w:rFonts w:ascii="Arial" w:hAnsi="Arial" w:cs="Arial"/>
          <w:i/>
          <w:iCs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r w:rsidRPr="00540DE8">
        <w:rPr>
          <w:rFonts w:ascii="Arial" w:hAnsi="Arial" w:cs="Arial"/>
          <w:i/>
          <w:iCs/>
          <w:color w:val="000000"/>
          <w:sz w:val="21"/>
          <w:szCs w:val="21"/>
        </w:rPr>
        <w:t>      Республики Казахстан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r w:rsidRPr="00540DE8">
        <w:rPr>
          <w:rFonts w:ascii="Arial" w:hAnsi="Arial" w:cs="Arial"/>
          <w:i/>
          <w:iCs/>
          <w:color w:val="000000"/>
          <w:sz w:val="21"/>
          <w:szCs w:val="21"/>
        </w:rPr>
        <w:t xml:space="preserve">      ____________ Т. </w:t>
      </w:r>
      <w:proofErr w:type="spellStart"/>
      <w:r w:rsidRPr="00540DE8">
        <w:rPr>
          <w:rFonts w:ascii="Arial" w:hAnsi="Arial" w:cs="Arial"/>
          <w:i/>
          <w:iCs/>
          <w:color w:val="000000"/>
          <w:sz w:val="21"/>
          <w:szCs w:val="21"/>
        </w:rPr>
        <w:t>Дуйсенова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br/>
        <w:t>      «</w:t>
      </w:r>
      <w:r w:rsidRPr="00540DE8">
        <w:rPr>
          <w:rFonts w:ascii="Arial" w:hAnsi="Arial" w:cs="Arial"/>
          <w:i/>
          <w:iCs/>
          <w:color w:val="000000"/>
          <w:sz w:val="21"/>
          <w:szCs w:val="21"/>
        </w:rPr>
        <w:t>05</w:t>
      </w:r>
      <w:r w:rsidRPr="00540DE8">
        <w:rPr>
          <w:rFonts w:ascii="Arial" w:hAnsi="Arial" w:cs="Arial"/>
          <w:color w:val="000000"/>
          <w:sz w:val="21"/>
          <w:szCs w:val="21"/>
        </w:rPr>
        <w:t>»</w:t>
      </w:r>
      <w:r w:rsidRPr="00540DE8">
        <w:rPr>
          <w:rFonts w:ascii="Arial" w:hAnsi="Arial" w:cs="Arial"/>
          <w:i/>
          <w:iCs/>
          <w:color w:val="000000"/>
          <w:sz w:val="21"/>
        </w:rPr>
        <w:t> </w:t>
      </w:r>
      <w:r w:rsidRPr="00540DE8">
        <w:rPr>
          <w:rFonts w:ascii="Arial" w:hAnsi="Arial" w:cs="Arial"/>
          <w:i/>
          <w:iCs/>
          <w:color w:val="000000"/>
          <w:sz w:val="21"/>
          <w:szCs w:val="21"/>
        </w:rPr>
        <w:t>февраля 2015 г.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Утверждены      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приказом Министра  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Национальной экономики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Республики Казахстан 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от 4 февраля 2015 года № 76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40DE8">
        <w:rPr>
          <w:rFonts w:ascii="Arial" w:hAnsi="Arial" w:cs="Arial"/>
          <w:b/>
          <w:bCs/>
          <w:color w:val="000000"/>
          <w:sz w:val="27"/>
          <w:szCs w:val="27"/>
        </w:rPr>
        <w:t>Правила</w:t>
      </w:r>
      <w:r w:rsidRPr="00540DE8">
        <w:rPr>
          <w:rFonts w:ascii="Arial" w:hAnsi="Arial" w:cs="Arial"/>
          <w:b/>
          <w:bCs/>
          <w:color w:val="000000"/>
          <w:sz w:val="27"/>
          <w:szCs w:val="27"/>
        </w:rPr>
        <w:br/>
        <w:t>хранения, транспортировки и использования профилактических</w:t>
      </w:r>
      <w:r w:rsidRPr="00540DE8">
        <w:rPr>
          <w:rFonts w:ascii="Arial" w:hAnsi="Arial" w:cs="Arial"/>
          <w:b/>
          <w:bCs/>
          <w:color w:val="000000"/>
          <w:sz w:val="27"/>
          <w:szCs w:val="27"/>
        </w:rPr>
        <w:br/>
        <w:t>(иммунобиологических, диагностических, дезинфицирующих)</w:t>
      </w:r>
      <w:r w:rsidRPr="00540DE8">
        <w:rPr>
          <w:rFonts w:ascii="Arial" w:hAnsi="Arial" w:cs="Arial"/>
          <w:b/>
          <w:bCs/>
          <w:color w:val="000000"/>
          <w:sz w:val="27"/>
          <w:szCs w:val="27"/>
        </w:rPr>
        <w:br/>
        <w:t>препаратов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40DE8">
        <w:rPr>
          <w:rFonts w:ascii="Arial" w:hAnsi="Arial" w:cs="Arial"/>
          <w:b/>
          <w:bCs/>
          <w:color w:val="000000"/>
          <w:sz w:val="27"/>
          <w:szCs w:val="27"/>
        </w:rPr>
        <w:t>1. Общие положения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 xml:space="preserve">      1.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Настоящие Правила хранения, транспортировки и использования профилактических (иммунобиологических, диагностических, дезинфицирующих) препаратов (далее – Правила) определяют порядок хранения, транспортировки и использования профилактических (иммунобиологических, диагностических, дезинфицирующих) препаратов.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4" w:name="z18"/>
      <w:bookmarkEnd w:id="4"/>
      <w:r w:rsidRPr="00540DE8">
        <w:rPr>
          <w:rFonts w:ascii="Arial" w:hAnsi="Arial" w:cs="Arial"/>
          <w:color w:val="000000"/>
          <w:sz w:val="21"/>
          <w:szCs w:val="21"/>
        </w:rPr>
        <w:lastRenderedPageBreak/>
        <w:t>      2.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Основные понятия, используемые в настоящих Правилах: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5" w:name="z19"/>
      <w:bookmarkEnd w:id="5"/>
      <w:r w:rsidRPr="00540DE8">
        <w:rPr>
          <w:rFonts w:ascii="Arial" w:hAnsi="Arial" w:cs="Arial"/>
          <w:color w:val="000000"/>
          <w:sz w:val="21"/>
          <w:szCs w:val="21"/>
        </w:rPr>
        <w:t>      1) анатоксин – медицинский препарат, приготовленный из токсина, не имеющий выраженных токсических свойств, но при этом способный индуцировать выработку антител к исходному токсину;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6" w:name="z20"/>
      <w:bookmarkEnd w:id="6"/>
      <w:r w:rsidRPr="00540DE8">
        <w:rPr>
          <w:rFonts w:ascii="Arial" w:hAnsi="Arial" w:cs="Arial"/>
          <w:color w:val="000000"/>
          <w:sz w:val="21"/>
          <w:szCs w:val="21"/>
        </w:rPr>
        <w:t>      2) бактериофаги – вирусы бактерий, способные поражать бактериальную клетку и вызывать ее растворение;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7" w:name="z21"/>
      <w:bookmarkEnd w:id="7"/>
      <w:r w:rsidRPr="00540DE8">
        <w:rPr>
          <w:rFonts w:ascii="Arial" w:hAnsi="Arial" w:cs="Arial"/>
          <w:color w:val="000000"/>
          <w:sz w:val="21"/>
          <w:szCs w:val="21"/>
        </w:rPr>
        <w:t>      3) вакцина – медицинский препарат для специфической профилактики инфекционных заболеваний, оказывающий профилактический эффект через иммунную систему;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8" w:name="z22"/>
      <w:bookmarkEnd w:id="8"/>
      <w:r w:rsidRPr="00540DE8">
        <w:rPr>
          <w:rFonts w:ascii="Arial" w:hAnsi="Arial" w:cs="Arial"/>
          <w:color w:val="000000"/>
          <w:sz w:val="21"/>
          <w:szCs w:val="21"/>
        </w:rPr>
        <w:t xml:space="preserve">      4)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вакцинатор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– медицинский работник, проводящий профилактические прививки;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9" w:name="z23"/>
      <w:bookmarkEnd w:id="9"/>
      <w:r w:rsidRPr="00540DE8">
        <w:rPr>
          <w:rFonts w:ascii="Arial" w:hAnsi="Arial" w:cs="Arial"/>
          <w:color w:val="000000"/>
          <w:sz w:val="21"/>
          <w:szCs w:val="21"/>
        </w:rPr>
        <w:t>      5) дезактивация – удаление или снижение радиоактивного загрязнения с какой-либо поверхности или из какой-либо среды;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10" w:name="z24"/>
      <w:bookmarkEnd w:id="10"/>
      <w:r w:rsidRPr="00540DE8">
        <w:rPr>
          <w:rFonts w:ascii="Arial" w:hAnsi="Arial" w:cs="Arial"/>
          <w:color w:val="000000"/>
          <w:sz w:val="21"/>
          <w:szCs w:val="21"/>
        </w:rPr>
        <w:t xml:space="preserve">      6) дезинфицирующие препараты (далее –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дезпрепараты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>) – средства дезинфекции, дезинсекции и дератизации;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11" w:name="z25"/>
      <w:bookmarkEnd w:id="11"/>
      <w:r w:rsidRPr="00540DE8">
        <w:rPr>
          <w:rFonts w:ascii="Arial" w:hAnsi="Arial" w:cs="Arial"/>
          <w:color w:val="000000"/>
          <w:sz w:val="21"/>
          <w:szCs w:val="21"/>
        </w:rPr>
        <w:t>      7) диагностические препараты (далее – ДП) – препараты, способные распознавать микроорганизмы, антигены, антитела, нуклеиновые кислоты в исследуемом материале;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12" w:name="z26"/>
      <w:bookmarkEnd w:id="12"/>
      <w:r w:rsidRPr="00540DE8">
        <w:rPr>
          <w:rFonts w:ascii="Arial" w:hAnsi="Arial" w:cs="Arial"/>
          <w:color w:val="000000"/>
          <w:sz w:val="21"/>
          <w:szCs w:val="21"/>
        </w:rPr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8) иммуноглобулины – медицинские препараты, изготовленные из сыворотки крови человека и животных, применяемые с целью экстренной профилактики и лечения инфекционных заболеваний;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13" w:name="z27"/>
      <w:bookmarkEnd w:id="13"/>
      <w:r w:rsidRPr="00540DE8">
        <w:rPr>
          <w:rFonts w:ascii="Arial" w:hAnsi="Arial" w:cs="Arial"/>
          <w:color w:val="000000"/>
          <w:sz w:val="21"/>
          <w:szCs w:val="21"/>
        </w:rPr>
        <w:t>      9) калибровка – совокупность операций, выполняемых с целью определения и подтверждения действительных значений метрологических характеристик и/или пригодности к применению средства измерений;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14" w:name="z28"/>
      <w:bookmarkEnd w:id="14"/>
      <w:r w:rsidRPr="00540DE8">
        <w:rPr>
          <w:rFonts w:ascii="Arial" w:hAnsi="Arial" w:cs="Arial"/>
          <w:color w:val="000000"/>
          <w:sz w:val="21"/>
          <w:szCs w:val="21"/>
        </w:rPr>
        <w:t xml:space="preserve">      10) кондиционирование - приведение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хладоэлементов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в соответствующее агрегатное состояние таяния льда до появления конденсата на поверхности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хладоэлементов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>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15" w:name="z29"/>
      <w:bookmarkEnd w:id="15"/>
      <w:r w:rsidRPr="00540DE8">
        <w:rPr>
          <w:rFonts w:ascii="Arial" w:hAnsi="Arial" w:cs="Arial"/>
          <w:color w:val="000000"/>
          <w:sz w:val="21"/>
          <w:szCs w:val="21"/>
        </w:rPr>
        <w:t xml:space="preserve">      11) контейнер для безопасного сбора и утилизации (далее – КБСУ) – водонепроницаемые и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труднопрокалываемые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одноразовые емкости для сбора и безопасной утилизации использованных шприцев и игл;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16" w:name="z30"/>
      <w:bookmarkEnd w:id="16"/>
      <w:r w:rsidRPr="00540DE8">
        <w:rPr>
          <w:rFonts w:ascii="Arial" w:hAnsi="Arial" w:cs="Arial"/>
          <w:color w:val="000000"/>
          <w:sz w:val="21"/>
          <w:szCs w:val="21"/>
        </w:rPr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12) медицинские иммунобиологические препараты (далее – МИБП) – препараты для специфической профилактики, диагностики и лечения инфекционных и иммунных (включая аллергические) заболеваний, диагностики при помощи иммунологических методов других заболеваний и физиологических состояний, индикации инфекционных агентов и их антигенов в объектах внешней среды, оказывающие лечебный и профилактический эффект через иммунную систему;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17" w:name="z31"/>
      <w:bookmarkEnd w:id="17"/>
      <w:r w:rsidRPr="00540DE8">
        <w:rPr>
          <w:rFonts w:ascii="Arial" w:hAnsi="Arial" w:cs="Arial"/>
          <w:color w:val="000000"/>
          <w:sz w:val="21"/>
          <w:szCs w:val="21"/>
        </w:rPr>
        <w:t>      13) виды МИБП – анатоксины, бактериофаги, вакцины, иммуноглобулины и сыворотки;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18" w:name="z32"/>
      <w:bookmarkEnd w:id="18"/>
      <w:r w:rsidRPr="00540DE8">
        <w:rPr>
          <w:rFonts w:ascii="Arial" w:hAnsi="Arial" w:cs="Arial"/>
          <w:color w:val="000000"/>
          <w:sz w:val="21"/>
          <w:szCs w:val="21"/>
        </w:rPr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14) самоблокирующийся шприц – шприц, который после одной инъекции автоматически блокируется и становится непригодным для повторного использования;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19" w:name="z33"/>
      <w:bookmarkEnd w:id="19"/>
      <w:r w:rsidRPr="00540DE8">
        <w:rPr>
          <w:rFonts w:ascii="Arial" w:hAnsi="Arial" w:cs="Arial"/>
          <w:color w:val="000000"/>
          <w:sz w:val="21"/>
          <w:szCs w:val="21"/>
        </w:rPr>
        <w:t xml:space="preserve">      15)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саморазрушающийся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шприц – шприц, который после одной инъекции приходит в негодность в связи с отламыванием поршня;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20" w:name="z34"/>
      <w:bookmarkEnd w:id="20"/>
      <w:r w:rsidRPr="00540DE8">
        <w:rPr>
          <w:rFonts w:ascii="Arial" w:hAnsi="Arial" w:cs="Arial"/>
          <w:color w:val="000000"/>
          <w:sz w:val="21"/>
          <w:szCs w:val="21"/>
        </w:rPr>
        <w:t>      16) профилактические препараты – группа препаратов, предназначенных для специфической профилактики, диагностики и лечения инфекционных и иммунных заболеваний, диагностики при помощи иммунологических методов других заболеваний и физиологических состояний, индикации инфекционных агентов и их антигенов, антител, нуклеиновых кислот в исследуемом материале и объектах внешней среды, а также для проведения дезинфекции, дезинсекции и дератизации;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21" w:name="z35"/>
      <w:bookmarkEnd w:id="21"/>
      <w:r w:rsidRPr="00540DE8">
        <w:rPr>
          <w:rFonts w:ascii="Arial" w:hAnsi="Arial" w:cs="Arial"/>
          <w:color w:val="000000"/>
          <w:sz w:val="21"/>
          <w:szCs w:val="21"/>
        </w:rPr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 xml:space="preserve">17)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холодовая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цепь – бесперебойно функционирующая система, обеспечивающая оптимальный температурный режим хранения и транспортировки МИБП и ДП на всех этапах пути их следования от организации-изготовителя до применения;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22" w:name="z36"/>
      <w:bookmarkEnd w:id="22"/>
      <w:r w:rsidRPr="00540DE8">
        <w:rPr>
          <w:rFonts w:ascii="Arial" w:hAnsi="Arial" w:cs="Arial"/>
          <w:color w:val="000000"/>
          <w:sz w:val="21"/>
          <w:szCs w:val="21"/>
        </w:rPr>
        <w:t>      18) сыворотка – медицинский препарат, полученный из крови человека или животных, который содержит агенты приобретенного иммунитета против инфекционных заболеваний;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23" w:name="z37"/>
      <w:bookmarkEnd w:id="23"/>
      <w:r w:rsidRPr="00540DE8">
        <w:rPr>
          <w:rFonts w:ascii="Arial" w:hAnsi="Arial" w:cs="Arial"/>
          <w:color w:val="000000"/>
          <w:sz w:val="21"/>
          <w:szCs w:val="21"/>
        </w:rPr>
        <w:t>      19) стандартные операционные процедуры - документально оформленный набор инструкций по выполнению определенных рабочих процедур или действий;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24" w:name="z38"/>
      <w:bookmarkEnd w:id="24"/>
      <w:r w:rsidRPr="00540DE8">
        <w:rPr>
          <w:rFonts w:ascii="Arial" w:hAnsi="Arial" w:cs="Arial"/>
          <w:color w:val="000000"/>
          <w:sz w:val="21"/>
          <w:szCs w:val="21"/>
        </w:rPr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20) тестирование зон температурных колебаний (картографирование) – исследование и моделирование пространственного распределения температурных колебаний в помещении (комнате, камере) для выявления температурных перепадов в различных зонах;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25" w:name="z39"/>
      <w:bookmarkEnd w:id="25"/>
      <w:r w:rsidRPr="00540DE8">
        <w:rPr>
          <w:rFonts w:ascii="Arial" w:hAnsi="Arial" w:cs="Arial"/>
          <w:color w:val="000000"/>
          <w:sz w:val="21"/>
          <w:szCs w:val="21"/>
        </w:rPr>
        <w:t xml:space="preserve">      21)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термоиндикатор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– контрольная карточка, которая следует вместе с вакциной от отправителя до получателя и фиксирует воздействие температуры на вакцину путем изменения цвета индикатора;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26" w:name="z40"/>
      <w:bookmarkEnd w:id="26"/>
      <w:r w:rsidRPr="00540DE8">
        <w:rPr>
          <w:rFonts w:ascii="Arial" w:hAnsi="Arial" w:cs="Arial"/>
          <w:color w:val="000000"/>
          <w:sz w:val="21"/>
          <w:szCs w:val="21"/>
        </w:rPr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 xml:space="preserve">22)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– ящик (или сумка) для переноса МИБП с теплоизолирующими свойствами и плотно прилегающей крышкой, где оптимальный температурный режим (от плюс 2</w:t>
      </w:r>
      <w:r w:rsidRPr="00540DE8">
        <w:rPr>
          <w:rFonts w:ascii="Arial" w:hAnsi="Arial" w:cs="Arial"/>
          <w:color w:val="000000"/>
          <w:sz w:val="21"/>
          <w:szCs w:val="21"/>
          <w:vertAlign w:val="superscript"/>
        </w:rPr>
        <w:t>0</w:t>
      </w:r>
      <w:r w:rsidRPr="00540DE8">
        <w:rPr>
          <w:rFonts w:ascii="Arial" w:hAnsi="Arial" w:cs="Arial"/>
          <w:color w:val="000000"/>
          <w:sz w:val="21"/>
          <w:szCs w:val="21"/>
        </w:rPr>
        <w:t>С до плюс 8</w:t>
      </w:r>
      <w:r w:rsidRPr="00540DE8">
        <w:rPr>
          <w:rFonts w:ascii="Arial" w:hAnsi="Arial" w:cs="Arial"/>
          <w:color w:val="000000"/>
          <w:sz w:val="21"/>
          <w:szCs w:val="21"/>
          <w:vertAlign w:val="superscript"/>
        </w:rPr>
        <w:t>0</w:t>
      </w:r>
      <w:r w:rsidRPr="00540DE8">
        <w:rPr>
          <w:rFonts w:ascii="Arial" w:hAnsi="Arial" w:cs="Arial"/>
          <w:color w:val="000000"/>
          <w:sz w:val="21"/>
          <w:szCs w:val="21"/>
        </w:rPr>
        <w:t>С) обеспечивается с помощью помещенных в его полость замороженных холодильных элементов;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27" w:name="z41"/>
      <w:bookmarkEnd w:id="27"/>
      <w:r w:rsidRPr="00540DE8">
        <w:rPr>
          <w:rFonts w:ascii="Arial" w:hAnsi="Arial" w:cs="Arial"/>
          <w:color w:val="000000"/>
          <w:sz w:val="21"/>
          <w:szCs w:val="21"/>
        </w:rPr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 xml:space="preserve">23) холодильный элемент (далее –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хладоэлемент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) – герметически закрытая емкость, заполненная водой, которая замораживается перед использованием и служит для поддержания температуры в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термоконтейнере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в пределах от плюс 2</w:t>
      </w:r>
      <w:r w:rsidRPr="00540DE8">
        <w:rPr>
          <w:rFonts w:ascii="Arial" w:hAnsi="Arial" w:cs="Arial"/>
          <w:color w:val="000000"/>
          <w:sz w:val="21"/>
          <w:szCs w:val="21"/>
          <w:vertAlign w:val="superscript"/>
        </w:rPr>
        <w:t>0</w:t>
      </w:r>
      <w:r w:rsidRPr="00540DE8">
        <w:rPr>
          <w:rFonts w:ascii="Arial" w:hAnsi="Arial" w:cs="Arial"/>
          <w:color w:val="000000"/>
          <w:sz w:val="21"/>
          <w:szCs w:val="21"/>
        </w:rPr>
        <w:t>С до плюс 8</w:t>
      </w:r>
      <w:r w:rsidRPr="00540DE8">
        <w:rPr>
          <w:rFonts w:ascii="Arial" w:hAnsi="Arial" w:cs="Arial"/>
          <w:color w:val="000000"/>
          <w:sz w:val="21"/>
          <w:szCs w:val="21"/>
          <w:vertAlign w:val="superscript"/>
        </w:rPr>
        <w:t>0</w:t>
      </w:r>
      <w:r w:rsidRPr="00540DE8">
        <w:rPr>
          <w:rFonts w:ascii="Arial" w:hAnsi="Arial" w:cs="Arial"/>
          <w:color w:val="000000"/>
          <w:sz w:val="21"/>
          <w:szCs w:val="21"/>
        </w:rPr>
        <w:t>С;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28" w:name="z42"/>
      <w:bookmarkEnd w:id="28"/>
      <w:r w:rsidRPr="00540DE8">
        <w:rPr>
          <w:rFonts w:ascii="Arial" w:hAnsi="Arial" w:cs="Arial"/>
          <w:color w:val="000000"/>
          <w:sz w:val="21"/>
          <w:szCs w:val="21"/>
        </w:rPr>
        <w:t>      24) инвентаризация – сверка фактических данных МИБП с данными бухгалтерского учета на определенную дату.</w:t>
      </w:r>
      <w:proofErr w:type="gramEnd"/>
    </w:p>
    <w:p w:rsidR="00540DE8" w:rsidRPr="00540DE8" w:rsidRDefault="00540DE8" w:rsidP="00540DE8">
      <w:pPr>
        <w:spacing w:before="100" w:beforeAutospacing="1" w:after="100" w:afterAutospacing="1" w:line="345" w:lineRule="atLeast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40DE8">
        <w:rPr>
          <w:rFonts w:ascii="Arial" w:hAnsi="Arial" w:cs="Arial"/>
          <w:b/>
          <w:bCs/>
          <w:color w:val="000000"/>
          <w:sz w:val="27"/>
          <w:szCs w:val="27"/>
        </w:rPr>
        <w:t>2. Порядок хранения, транспортировки и использования</w:t>
      </w:r>
      <w:r w:rsidRPr="00540DE8">
        <w:rPr>
          <w:rFonts w:ascii="Arial" w:hAnsi="Arial" w:cs="Arial"/>
          <w:b/>
          <w:bCs/>
          <w:color w:val="000000"/>
          <w:sz w:val="27"/>
          <w:szCs w:val="27"/>
        </w:rPr>
        <w:br/>
        <w:t>медицинских иммунобиологических препаратов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      3. Склад для хранения МИБП размещается в отдельно стоящем здании или на первом этаже здания организации здравоохранения, имеет самостоятельный выход наружу, изолированный от других помещений либо в сухом проветриваемом подвальном помещении.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Требования к отоплению, вентиляции, искусственному и естественному освещению обеспечиваются в соответствии с санитарными правилами «Санитарно-эпидемиологические требования к объектам в сфере обращения лекарственных средств, изделий медицинского назначения и медицинской техники», утвержденных государственным органом в сфере санитарно-эпидемиологического благополучия населения в соответствии с </w:t>
      </w:r>
      <w:hyperlink r:id="rId6" w:anchor="z1478" w:tgtFrame="_blank" w:history="1">
        <w:r w:rsidRPr="00540DE8">
          <w:rPr>
            <w:rFonts w:ascii="Arial" w:hAnsi="Arial" w:cs="Arial"/>
            <w:color w:val="0000FF"/>
            <w:sz w:val="21"/>
            <w:u w:val="single"/>
          </w:rPr>
          <w:t>пунктом 6</w:t>
        </w:r>
      </w:hyperlink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t>статьи 144 Кодекса Республики Казахстан от 18 сентября 2009 года «О здоровье народа и системе здравоохранения».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29" w:name="z45"/>
      <w:bookmarkEnd w:id="29"/>
      <w:r w:rsidRPr="00540DE8">
        <w:rPr>
          <w:rFonts w:ascii="Arial" w:hAnsi="Arial" w:cs="Arial"/>
          <w:color w:val="000000"/>
          <w:sz w:val="21"/>
          <w:szCs w:val="21"/>
        </w:rPr>
        <w:t>      4.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Ежегодно проводится оценка технического состояния складских помещений и их коммунальных сооружений с оформлением акта профилактического технического осмотра состояния складских помещений и их коммунальных сооружений по форме согласно </w:t>
      </w:r>
      <w:hyperlink r:id="rId7" w:anchor="z1" w:tgtFrame="_blank" w:history="1">
        <w:r w:rsidRPr="00540DE8">
          <w:rPr>
            <w:rFonts w:ascii="Arial" w:hAnsi="Arial" w:cs="Arial"/>
            <w:color w:val="0000FF"/>
            <w:sz w:val="21"/>
            <w:u w:val="single"/>
          </w:rPr>
          <w:t>приложению 1</w:t>
        </w:r>
      </w:hyperlink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t>к настоящим Правилам.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30" w:name="z46"/>
      <w:bookmarkEnd w:id="30"/>
      <w:r w:rsidRPr="00540DE8">
        <w:rPr>
          <w:rFonts w:ascii="Arial" w:hAnsi="Arial" w:cs="Arial"/>
          <w:color w:val="000000"/>
          <w:sz w:val="21"/>
          <w:szCs w:val="21"/>
        </w:rPr>
        <w:t>      5. На складе для хранения МИБП устанавливаются холодильники, морозильники (далее – холодильное оборудование), холодильные и морозильные комнаты или камеры.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31" w:name="z47"/>
      <w:bookmarkEnd w:id="31"/>
      <w:r w:rsidRPr="00540DE8">
        <w:rPr>
          <w:rFonts w:ascii="Arial" w:hAnsi="Arial" w:cs="Arial"/>
          <w:color w:val="000000"/>
          <w:sz w:val="21"/>
          <w:szCs w:val="21"/>
        </w:rPr>
        <w:t>      6. При складе МИБП предусматриваются погрузочно-разгрузочная площадка и подъездные пути для автотранспорта.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32" w:name="z48"/>
      <w:bookmarkEnd w:id="32"/>
      <w:r w:rsidRPr="00540DE8">
        <w:rPr>
          <w:rFonts w:ascii="Arial" w:hAnsi="Arial" w:cs="Arial"/>
          <w:color w:val="000000"/>
          <w:sz w:val="21"/>
          <w:szCs w:val="21"/>
        </w:rPr>
        <w:t xml:space="preserve">      7. Склад имеет помещения для хранения, распаковки и упаковки МИБП, для хранения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хладоэлементов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и другого упаковочного материала.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33" w:name="z49"/>
      <w:bookmarkEnd w:id="33"/>
      <w:r w:rsidRPr="00540DE8">
        <w:rPr>
          <w:rFonts w:ascii="Arial" w:hAnsi="Arial" w:cs="Arial"/>
          <w:color w:val="000000"/>
          <w:sz w:val="21"/>
          <w:szCs w:val="21"/>
        </w:rPr>
        <w:t>      8. На складе предусматривается зона карантина для изоляции возвращенных, бракованных, отозванных, изъятых или приостановленных к применению МИБП, в том числе отдельных серий МИБП, использование которых приостановлено постановлением Главного государственного санитарного врача Республики Казахстан.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МИБП, находящиеся в зоне карантина, имеют маркировку с указанием статуса (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возвращен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, бракован, отозван, изъят, приостановлен, с истекшим сроком годности). В зоне карантина обеспечиваются условия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холодовой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цепи.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34" w:name="z50"/>
      <w:bookmarkEnd w:id="34"/>
      <w:r w:rsidRPr="00540DE8">
        <w:rPr>
          <w:rFonts w:ascii="Arial" w:hAnsi="Arial" w:cs="Arial"/>
          <w:color w:val="000000"/>
          <w:sz w:val="21"/>
          <w:szCs w:val="21"/>
        </w:rPr>
        <w:t>      9. Склад запирается и в конце рабочего дня опечатывается ответственным лицом за хранение и транспортировку МИБП (далее – ответственное лицо). В помещение склада имеет доступ только ответственное лицо. Для предупреждения взлома, пожара, задымления склад оборудуется сигнализацией.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35" w:name="z51"/>
      <w:bookmarkEnd w:id="35"/>
      <w:r w:rsidRPr="00540DE8">
        <w:rPr>
          <w:rFonts w:ascii="Arial" w:hAnsi="Arial" w:cs="Arial"/>
          <w:color w:val="000000"/>
          <w:sz w:val="21"/>
          <w:szCs w:val="21"/>
        </w:rPr>
        <w:t>      10. На складе регулярно проводится уборка, обеспечивающая поддержание санитарно-гигиенического состояния холодильного оборудования, холодильных и морозильных комнат или камер в соответствии с графиком, утвержденным руководителем организации.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36" w:name="z52"/>
      <w:bookmarkEnd w:id="36"/>
      <w:r w:rsidRPr="00540DE8">
        <w:rPr>
          <w:rFonts w:ascii="Arial" w:hAnsi="Arial" w:cs="Arial"/>
          <w:color w:val="000000"/>
          <w:sz w:val="21"/>
          <w:szCs w:val="21"/>
        </w:rPr>
        <w:t xml:space="preserve">      11.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 xml:space="preserve">На случай возникновения чрезвычайных ситуаций и/или неисправности холодильного оборудования, холодильных и морозильных комнат или камер или отключения электроэнергии, разрабатывается план экстренных мероприятий по обеспечению условий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холодовой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цепи для хранения МИБП, который утверждается руководителем организации осуществляющей хранение МИБП и согласовывается с руководителем организации, на складе которой предполагается временное размещение МИБП.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37" w:name="z53"/>
      <w:bookmarkEnd w:id="37"/>
      <w:r w:rsidRPr="00540DE8">
        <w:rPr>
          <w:rFonts w:ascii="Arial" w:hAnsi="Arial" w:cs="Arial"/>
          <w:color w:val="000000"/>
          <w:sz w:val="21"/>
          <w:szCs w:val="21"/>
        </w:rPr>
        <w:t>      12.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На случай отключения электроэнергии предусматривается автоматическое подключение холодильного оборудования, холодильных и морозильных комнат или камер к системе бесперебойного электроснабжения (генератор).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38" w:name="z54"/>
      <w:bookmarkEnd w:id="38"/>
      <w:r w:rsidRPr="00540DE8">
        <w:rPr>
          <w:rFonts w:ascii="Arial" w:hAnsi="Arial" w:cs="Arial"/>
          <w:color w:val="000000"/>
          <w:sz w:val="21"/>
          <w:szCs w:val="21"/>
        </w:rPr>
        <w:t xml:space="preserve">      13. Для соблюдения условий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холодовой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цепи при хранении и транспортировке МИБП предусматриваются резервное холодильное оборудование, холодильные комнаты или камеры, запасные части к ним,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термоконтейнеры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хладоэлементы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>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39" w:name="z55"/>
      <w:bookmarkEnd w:id="39"/>
      <w:r w:rsidRPr="00540DE8">
        <w:rPr>
          <w:rFonts w:ascii="Arial" w:hAnsi="Arial" w:cs="Arial"/>
          <w:color w:val="000000"/>
          <w:sz w:val="21"/>
          <w:szCs w:val="21"/>
        </w:rPr>
        <w:t>      14. Холодильное оборудование, холодильные и морозильные комнаты или камеры имеют объем для удовлетворения максимального уровня запасов МИБП в период поставок.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40" w:name="z56"/>
      <w:bookmarkEnd w:id="40"/>
      <w:r w:rsidRPr="00540DE8">
        <w:rPr>
          <w:rFonts w:ascii="Arial" w:hAnsi="Arial" w:cs="Arial"/>
          <w:color w:val="000000"/>
          <w:sz w:val="21"/>
          <w:szCs w:val="21"/>
        </w:rPr>
        <w:t xml:space="preserve">      15.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Холодильные и морозильные комнаты или камеры оборудуются: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1) системой автоматического размораживания с минимальным влиянием на температуру внутри помещения во время периода размораживания и удерживающей температуру в определенных пределах в течение этого периода;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2) системой защиты от низких температур в условиях холодного климата;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3) откалиброванной системой беспрерывного мониторинга температуры с сенсорами, расположенными в местах, отражающих температурные перепады и экстремальные температуры;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сенсоры располагаются таким образом, чтобы минимизировать влияние временных факторов (открывание двери);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4) откалиброванной системой беспрерывного мониторинга влажности с сенсорами, расположенными в местах, отражающих экстремальные уровни влажности;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5) визуальной и/или звуковой сигнализацией для оповещения об отклонениях температуры и/или выходе из строя системы охлаждения;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6) запирающимися дверями, при этом замки оборудуются устройством безопасности для легкого открывания двери изнутри;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7) стеллажами, высотой не менее 10 сантиметров от пола.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41" w:name="z57"/>
      <w:bookmarkEnd w:id="41"/>
      <w:r w:rsidRPr="00540DE8">
        <w:rPr>
          <w:rFonts w:ascii="Arial" w:hAnsi="Arial" w:cs="Arial"/>
          <w:color w:val="000000"/>
          <w:sz w:val="21"/>
          <w:szCs w:val="21"/>
        </w:rPr>
        <w:t>      16. Калибровка устрой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ств дл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я контроля и мониторинга температуры и влажности проводится не реже одного раза в год.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Одноразовые устройства, поставляемые с сертификатом калибровки производителя не требуют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перекалибровки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>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42" w:name="z58"/>
      <w:bookmarkEnd w:id="42"/>
      <w:r w:rsidRPr="00540DE8">
        <w:rPr>
          <w:rFonts w:ascii="Arial" w:hAnsi="Arial" w:cs="Arial"/>
          <w:color w:val="000000"/>
          <w:sz w:val="21"/>
          <w:szCs w:val="21"/>
        </w:rPr>
        <w:t xml:space="preserve">      17.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В холодильных и морозильных комнатах или камерах проводится тестирование зон температурных колебаний при вводе в эксплуатацию и после проведения ремонта для определения зон, где не следует хранить МИБП (зоны в непосредственной близости от системы охлаждения или потоков холодного воздуха) с оформлением заключения, содержащего показания температуры в каждой контрольной точке, которое хранится у ответственного лица.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Замеры проводятся по следующим контрольным точкам: первая и вторая - справа и слева от входной двери, третья – в центре камеры/комнаты, четвертая, пятая, шестая и седьмая – по углам камеры/комнаты, восьмая и девятая - в центре левой и правой боковых стен камеры/комнаты, десятая – в центре задней боковой стены. Термометры в контрольных точках располагаются на трех уровнях по вертикали – у пола, по центру и у потолка на расстоянии не менее 20 сантиметров от поверхности стены (пола, потолка).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Тестирование зон температурных колебаний проводится в случаях, когда мониторинг температуры показывает необъяснимые перепады.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43" w:name="z59"/>
      <w:bookmarkEnd w:id="43"/>
      <w:r w:rsidRPr="00540DE8">
        <w:rPr>
          <w:rFonts w:ascii="Arial" w:hAnsi="Arial" w:cs="Arial"/>
          <w:color w:val="000000"/>
          <w:sz w:val="21"/>
          <w:szCs w:val="21"/>
        </w:rPr>
        <w:t xml:space="preserve">      18.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Тестирование зон не требуется для оборудования с незначительной сборкой – холодильников и морозильников для МИБП, прошедших независимую проверку, и признаны приемлемыми для хранения МИБП, чувствительными к температуре и времени.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44" w:name="z60"/>
      <w:bookmarkEnd w:id="44"/>
      <w:r w:rsidRPr="00540DE8">
        <w:rPr>
          <w:rFonts w:ascii="Arial" w:hAnsi="Arial" w:cs="Arial"/>
          <w:color w:val="000000"/>
          <w:sz w:val="21"/>
          <w:szCs w:val="21"/>
        </w:rPr>
        <w:t>      19.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Холодильные и морозильные комнаты или камеры специально конструируются для хранения МИБП. Холодильное оборудование бытового типа используется после прохождения независимой проверки на соответствие требованиям контроля температуры согласно стандартам фармацевтических холодильников и морозильников.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45" w:name="z61"/>
      <w:bookmarkEnd w:id="45"/>
      <w:r w:rsidRPr="00540DE8">
        <w:rPr>
          <w:rFonts w:ascii="Arial" w:hAnsi="Arial" w:cs="Arial"/>
          <w:color w:val="000000"/>
          <w:sz w:val="21"/>
          <w:szCs w:val="21"/>
        </w:rPr>
        <w:t>      20. МИБП защищаются от воздействия света. Не допускается совместное хранение МИБП с посторонними предметами и непосредственно на полу.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46" w:name="z62"/>
      <w:bookmarkEnd w:id="46"/>
      <w:r w:rsidRPr="00540DE8">
        <w:rPr>
          <w:rFonts w:ascii="Arial" w:hAnsi="Arial" w:cs="Arial"/>
          <w:color w:val="000000"/>
          <w:sz w:val="21"/>
          <w:szCs w:val="21"/>
        </w:rPr>
        <w:t>      21. При хранении МИБП размещаются на стеллажах или полках холодильного оборудования, холодильных и морозильных комнат или камер раздельно по их видам, с учетом сроков годности и серии. Ежедневно, 2 раза в сутки (утром и вечером) отмечается температура холодильного оборудования, холодильных и морозильных комнат или камер в журнале учета температурного режима холодильного оборудования, холодильных и морозильных комнат или камер по форме согласно </w:t>
      </w:r>
      <w:hyperlink r:id="rId8" w:anchor="z2" w:tgtFrame="_blank" w:history="1">
        <w:r w:rsidRPr="00540DE8">
          <w:rPr>
            <w:rFonts w:ascii="Arial" w:hAnsi="Arial" w:cs="Arial"/>
            <w:color w:val="0000FF"/>
            <w:sz w:val="21"/>
            <w:u w:val="single"/>
          </w:rPr>
          <w:t>приложению 2</w:t>
        </w:r>
      </w:hyperlink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t>к настоящим Правилам.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47" w:name="z63"/>
      <w:bookmarkEnd w:id="47"/>
      <w:r w:rsidRPr="00540DE8">
        <w:rPr>
          <w:rFonts w:ascii="Arial" w:hAnsi="Arial" w:cs="Arial"/>
          <w:color w:val="000000"/>
          <w:sz w:val="21"/>
          <w:szCs w:val="21"/>
        </w:rPr>
        <w:t xml:space="preserve">      22. Хранение МИБП осуществляется с соблюдением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холодовой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цепи при температурных условиях хранения МИБП согласно </w:t>
      </w:r>
      <w:hyperlink r:id="rId9" w:anchor="z3" w:tgtFrame="_blank" w:history="1">
        <w:r w:rsidRPr="00540DE8">
          <w:rPr>
            <w:rFonts w:ascii="Arial" w:hAnsi="Arial" w:cs="Arial"/>
            <w:color w:val="0000FF"/>
            <w:sz w:val="21"/>
            <w:u w:val="single"/>
          </w:rPr>
          <w:t>приложению 3</w:t>
        </w:r>
      </w:hyperlink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t>к настоящим Правилам.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48" w:name="z64"/>
      <w:bookmarkEnd w:id="48"/>
      <w:r w:rsidRPr="00540DE8">
        <w:rPr>
          <w:rFonts w:ascii="Arial" w:hAnsi="Arial" w:cs="Arial"/>
          <w:color w:val="000000"/>
          <w:sz w:val="21"/>
          <w:szCs w:val="21"/>
        </w:rPr>
        <w:t xml:space="preserve">      23. Холодильное оборудование, холодильные и морозильные комнаты или камеры,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термоконтейнеры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содержатся в чистоте, регулярно размораживаются и моются (не реже одного раза в месяц) с регистрацией даты их проведения. Не допускается превышение слоя инея на стенках холодильных камер более 5 миллиметров.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49" w:name="z65"/>
      <w:bookmarkEnd w:id="49"/>
      <w:r w:rsidRPr="00540DE8">
        <w:rPr>
          <w:rFonts w:ascii="Arial" w:hAnsi="Arial" w:cs="Arial"/>
          <w:color w:val="000000"/>
          <w:sz w:val="21"/>
          <w:szCs w:val="21"/>
        </w:rPr>
        <w:t>      24. Не реже одного раза в год холодильное оборудование, холодильные и морозильные комнаты или камеры подвергаются плановому профилактическому техническому осмотру квалифицированным специалистом с обязательным составлением акта технического осмотра, содержащего оценку технического состояния, выявленные замечания и предложения по устранению замечаний, который хранится у ответственного лица.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50" w:name="z66"/>
      <w:bookmarkEnd w:id="50"/>
      <w:r w:rsidRPr="00540DE8">
        <w:rPr>
          <w:rFonts w:ascii="Arial" w:hAnsi="Arial" w:cs="Arial"/>
          <w:color w:val="000000"/>
          <w:sz w:val="21"/>
          <w:szCs w:val="21"/>
        </w:rPr>
        <w:t>      25. В медицинских организациях для хранения МИБП используются холодильники, установленные в прививочных кабинетах, прививочных пунктах.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51" w:name="z67"/>
      <w:bookmarkEnd w:id="51"/>
      <w:r w:rsidRPr="00540DE8">
        <w:rPr>
          <w:rFonts w:ascii="Arial" w:hAnsi="Arial" w:cs="Arial"/>
          <w:color w:val="000000"/>
          <w:sz w:val="21"/>
          <w:szCs w:val="21"/>
        </w:rPr>
        <w:t xml:space="preserve">      26. Для поддержания температуры на нижней полке холодильника помещаются емкости с водой. На случай кратковременного отключения электроэнергии для поддержания температуры на нижнюю полку холодильника дополнительно помещается запас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замороженных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хладоэлементов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>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52" w:name="z68"/>
      <w:bookmarkEnd w:id="52"/>
      <w:r w:rsidRPr="00540DE8">
        <w:rPr>
          <w:rFonts w:ascii="Arial" w:hAnsi="Arial" w:cs="Arial"/>
          <w:color w:val="000000"/>
          <w:sz w:val="21"/>
          <w:szCs w:val="21"/>
        </w:rPr>
        <w:t>      27. Каждый холодильник снабжается двумя термометрами, которые устанавливаются в верхней и нижней части холодильника. Термометры подвергаются ежегодной метрологической поверке.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53" w:name="z69"/>
      <w:bookmarkEnd w:id="53"/>
      <w:r w:rsidRPr="00540DE8">
        <w:rPr>
          <w:rFonts w:ascii="Arial" w:hAnsi="Arial" w:cs="Arial"/>
          <w:color w:val="000000"/>
          <w:sz w:val="21"/>
          <w:szCs w:val="21"/>
        </w:rPr>
        <w:t>      28. При хранении МИБП обеспечивается: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1) доступ охлажденного воздуха к каждой упаковке;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2) заполнение холодильного оборудования с учетом сроков годности МИБП. При этом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,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МИБП с меньшим сроком годности отпускаются или используются в первую очередь.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54" w:name="z70"/>
      <w:bookmarkEnd w:id="54"/>
      <w:r w:rsidRPr="00540DE8">
        <w:rPr>
          <w:rFonts w:ascii="Arial" w:hAnsi="Arial" w:cs="Arial"/>
          <w:color w:val="000000"/>
          <w:sz w:val="21"/>
          <w:szCs w:val="21"/>
        </w:rPr>
        <w:t xml:space="preserve">      29. Не допускается заполнение МИБП и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хладоэлементами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более половины общего объема холодильного оборудования, холодильных и морозильных комнат или камер.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55" w:name="z71"/>
      <w:bookmarkEnd w:id="55"/>
      <w:r w:rsidRPr="00540DE8">
        <w:rPr>
          <w:rFonts w:ascii="Arial" w:hAnsi="Arial" w:cs="Arial"/>
          <w:color w:val="000000"/>
          <w:sz w:val="21"/>
          <w:szCs w:val="21"/>
        </w:rPr>
        <w:t xml:space="preserve">      30. Для быстрой заморозки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хладоэлементов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используются морозильные камеры.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56" w:name="z72"/>
      <w:bookmarkEnd w:id="56"/>
      <w:r w:rsidRPr="00540DE8">
        <w:rPr>
          <w:rFonts w:ascii="Arial" w:hAnsi="Arial" w:cs="Arial"/>
          <w:color w:val="000000"/>
          <w:sz w:val="21"/>
          <w:szCs w:val="21"/>
        </w:rPr>
        <w:t>      31. Для соблюдения мер по обеспечению личной безопасности, перед входом в холодильную и морозильную комнату или камеру необходимо: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1) предварительно оповестить об этом сотрудника, имеющего возможность, в случае необходимости, открыть дверь снаружи;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2) проверить возможность открытия двери изнутри.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Не допускается вход в холодильную и морозильную комнату или камеру без утепленной одежды.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57" w:name="z73"/>
      <w:bookmarkEnd w:id="57"/>
      <w:r w:rsidRPr="00540DE8">
        <w:rPr>
          <w:rFonts w:ascii="Arial" w:hAnsi="Arial" w:cs="Arial"/>
          <w:color w:val="000000"/>
          <w:sz w:val="21"/>
          <w:szCs w:val="21"/>
        </w:rPr>
        <w:t>      32. МИБП отпускаются ответственным лицом со склада вышестоящего уровня при предъявлении доверенности на получение МИБП по заявке получателя.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58" w:name="z74"/>
      <w:bookmarkEnd w:id="58"/>
      <w:r w:rsidRPr="00540DE8">
        <w:rPr>
          <w:rFonts w:ascii="Arial" w:hAnsi="Arial" w:cs="Arial"/>
          <w:color w:val="000000"/>
          <w:sz w:val="21"/>
          <w:szCs w:val="21"/>
        </w:rPr>
        <w:t xml:space="preserve">      33.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 xml:space="preserve">Транспортировка МИБП, в том числе возвращенные, бракованные, отозванные, изъятые или приостановленные к применению МИБП, осуществляется в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термоконтейнерах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с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хладоэлементами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или в специальном автотранспорте, оборудованном холодильником (авторефрижераторе) при температуре от плюс 2</w:t>
      </w:r>
      <w:r w:rsidRPr="00540DE8">
        <w:rPr>
          <w:rFonts w:ascii="Arial" w:hAnsi="Arial" w:cs="Arial"/>
          <w:color w:val="000000"/>
          <w:sz w:val="21"/>
          <w:szCs w:val="21"/>
          <w:vertAlign w:val="superscript"/>
        </w:rPr>
        <w:t>0</w:t>
      </w:r>
      <w:r w:rsidRPr="00540DE8">
        <w:rPr>
          <w:rFonts w:ascii="Arial" w:hAnsi="Arial" w:cs="Arial"/>
          <w:color w:val="000000"/>
          <w:sz w:val="21"/>
          <w:szCs w:val="21"/>
        </w:rPr>
        <w:t>С до плюс 8</w:t>
      </w:r>
      <w:r w:rsidRPr="00540DE8">
        <w:rPr>
          <w:rFonts w:ascii="Arial" w:hAnsi="Arial" w:cs="Arial"/>
          <w:color w:val="000000"/>
          <w:sz w:val="21"/>
          <w:szCs w:val="21"/>
          <w:vertAlign w:val="superscript"/>
        </w:rPr>
        <w:t>0</w:t>
      </w:r>
      <w:r w:rsidRPr="00540DE8">
        <w:rPr>
          <w:rFonts w:ascii="Arial" w:hAnsi="Arial" w:cs="Arial"/>
          <w:color w:val="000000"/>
          <w:sz w:val="21"/>
          <w:szCs w:val="21"/>
        </w:rPr>
        <w:t>С в максимально сжатые сроки, но не более 48 часов с момента их загрузки.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59" w:name="z75"/>
      <w:bookmarkEnd w:id="59"/>
      <w:r w:rsidRPr="00540DE8">
        <w:rPr>
          <w:rFonts w:ascii="Arial" w:hAnsi="Arial" w:cs="Arial"/>
          <w:color w:val="000000"/>
          <w:sz w:val="21"/>
          <w:szCs w:val="21"/>
        </w:rPr>
        <w:t>      34.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Авторефрижераторы обеспечивают температуру от плюс 2</w:t>
      </w:r>
      <w:r w:rsidRPr="00540DE8">
        <w:rPr>
          <w:rFonts w:ascii="Arial" w:hAnsi="Arial" w:cs="Arial"/>
          <w:color w:val="000000"/>
          <w:sz w:val="21"/>
          <w:szCs w:val="21"/>
          <w:vertAlign w:val="superscript"/>
        </w:rPr>
        <w:t>0</w:t>
      </w:r>
      <w:r w:rsidRPr="00540DE8">
        <w:rPr>
          <w:rFonts w:ascii="Arial" w:hAnsi="Arial" w:cs="Arial"/>
          <w:color w:val="000000"/>
          <w:sz w:val="21"/>
          <w:szCs w:val="21"/>
        </w:rPr>
        <w:t>С до плюс 8</w:t>
      </w:r>
      <w:r w:rsidRPr="00540DE8">
        <w:rPr>
          <w:rFonts w:ascii="Arial" w:hAnsi="Arial" w:cs="Arial"/>
          <w:color w:val="000000"/>
          <w:sz w:val="21"/>
          <w:szCs w:val="21"/>
          <w:vertAlign w:val="superscript"/>
        </w:rPr>
        <w:t>0</w:t>
      </w:r>
      <w:r w:rsidRPr="00540DE8">
        <w:rPr>
          <w:rFonts w:ascii="Arial" w:hAnsi="Arial" w:cs="Arial"/>
          <w:color w:val="000000"/>
          <w:sz w:val="21"/>
          <w:szCs w:val="21"/>
        </w:rPr>
        <w:t>С на всем протяжении пути следования по доставке МИБП и обеспечиваются: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1) системой защиты от низких температур в условиях холодного климата;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2) откалиброванными устройствами для мониторинга температуры с сенсорами, расположенными в местах отображающих температурные перепады;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3) сигнализацией, указывающей водителю на отклонение температуры и/или выход из строя системы охлаждения;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4) глобальной спутниковой навигационной системой для слежения за температурным режимом по пути следования;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5) дверями с пломбами и/или замками;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6) тестированием зон температурных колебаний при вводе в эксплуатацию и после проведения ремонта для определения зон, где не следует хранить МИБП (зоны в непосредственной близости от системы охлаждения или потоков холодного воздуха) с оформлением документов по его результатам.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60" w:name="z76"/>
      <w:bookmarkEnd w:id="60"/>
      <w:r w:rsidRPr="00540DE8">
        <w:rPr>
          <w:rFonts w:ascii="Arial" w:hAnsi="Arial" w:cs="Arial"/>
          <w:color w:val="000000"/>
          <w:sz w:val="21"/>
          <w:szCs w:val="21"/>
        </w:rPr>
        <w:t>      35.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Для транспортировки МИБП используется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, обеспечивающий температурный режим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от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плюс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2</w:t>
      </w:r>
      <w:r w:rsidRPr="00540DE8">
        <w:rPr>
          <w:rFonts w:ascii="Arial" w:hAnsi="Arial" w:cs="Arial"/>
          <w:color w:val="000000"/>
          <w:sz w:val="21"/>
          <w:szCs w:val="21"/>
          <w:vertAlign w:val="superscript"/>
        </w:rPr>
        <w:t>0</w:t>
      </w:r>
      <w:r w:rsidRPr="00540DE8">
        <w:rPr>
          <w:rFonts w:ascii="Arial" w:hAnsi="Arial" w:cs="Arial"/>
          <w:color w:val="000000"/>
          <w:sz w:val="21"/>
          <w:szCs w:val="21"/>
        </w:rPr>
        <w:t>С до плюс 8</w:t>
      </w:r>
      <w:r w:rsidRPr="00540DE8">
        <w:rPr>
          <w:rFonts w:ascii="Arial" w:hAnsi="Arial" w:cs="Arial"/>
          <w:color w:val="000000"/>
          <w:sz w:val="21"/>
          <w:szCs w:val="21"/>
          <w:vertAlign w:val="superscript"/>
        </w:rPr>
        <w:t>0</w:t>
      </w:r>
      <w:r w:rsidRPr="00540DE8">
        <w:rPr>
          <w:rFonts w:ascii="Arial" w:hAnsi="Arial" w:cs="Arial"/>
          <w:color w:val="000000"/>
          <w:sz w:val="21"/>
          <w:szCs w:val="21"/>
        </w:rPr>
        <w:t>С, защищающий МИБП от перепадов температуры окружающей среды, механического повреждения.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61" w:name="z77"/>
      <w:bookmarkEnd w:id="61"/>
      <w:r w:rsidRPr="00540DE8">
        <w:rPr>
          <w:rFonts w:ascii="Arial" w:hAnsi="Arial" w:cs="Arial"/>
          <w:color w:val="000000"/>
          <w:sz w:val="21"/>
          <w:szCs w:val="21"/>
        </w:rPr>
        <w:t xml:space="preserve">      36. Каждый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имеет маркировку с указанием типа МИБП, температурных пределов хранения, требуемых для сохранности их качества.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62" w:name="z78"/>
      <w:bookmarkEnd w:id="62"/>
      <w:r w:rsidRPr="00540DE8">
        <w:rPr>
          <w:rFonts w:ascii="Arial" w:hAnsi="Arial" w:cs="Arial"/>
          <w:color w:val="000000"/>
          <w:sz w:val="21"/>
          <w:szCs w:val="21"/>
        </w:rPr>
        <w:t xml:space="preserve">      37. При перевозке МИБП на воздушном транспорте,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термоконтейнеры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с МИБП маркируются с использованием стандартных символов чувствительности к температуре и времени Международной ассоциации воздушного транспорта.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63" w:name="z79"/>
      <w:bookmarkEnd w:id="63"/>
      <w:r w:rsidRPr="00540DE8">
        <w:rPr>
          <w:rFonts w:ascii="Arial" w:hAnsi="Arial" w:cs="Arial"/>
          <w:color w:val="000000"/>
          <w:sz w:val="21"/>
          <w:szCs w:val="21"/>
        </w:rPr>
        <w:t xml:space="preserve">      38. Поставщиками при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растамаживании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МИБП обеспечивается соблюдение условий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холодовой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цепи при нахождении МИБП на складе временного хранения.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64" w:name="z80"/>
      <w:bookmarkEnd w:id="64"/>
      <w:r w:rsidRPr="00540DE8">
        <w:rPr>
          <w:rFonts w:ascii="Arial" w:hAnsi="Arial" w:cs="Arial"/>
          <w:color w:val="000000"/>
          <w:sz w:val="21"/>
          <w:szCs w:val="21"/>
        </w:rPr>
        <w:t xml:space="preserve">      39. В каждый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с МИБП вкладываются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термоиндикаторы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>. При хранении и транспортировке МИБП, чувствительных к действию низких температур, используются индикаторы замораживания.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65" w:name="z81"/>
      <w:bookmarkEnd w:id="65"/>
      <w:r w:rsidRPr="00540DE8">
        <w:rPr>
          <w:rFonts w:ascii="Arial" w:hAnsi="Arial" w:cs="Arial"/>
          <w:color w:val="000000"/>
          <w:sz w:val="21"/>
          <w:szCs w:val="21"/>
        </w:rPr>
        <w:t xml:space="preserve">      40. Перед загрузкой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МИБП проводится кондиционирование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хладоэлементов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>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66" w:name="z82"/>
      <w:bookmarkEnd w:id="66"/>
      <w:r w:rsidRPr="00540DE8">
        <w:rPr>
          <w:rFonts w:ascii="Arial" w:hAnsi="Arial" w:cs="Arial"/>
          <w:color w:val="000000"/>
          <w:sz w:val="21"/>
          <w:szCs w:val="21"/>
        </w:rPr>
        <w:t xml:space="preserve">      41. На всех уровнях хранения и транспортировки вакцин проводится регистрация поступления и дальнейшего отправления МИБП в медицинские организации с фиксацией в сопроводительных документах показаний на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термоиндикаторах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>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67" w:name="z83"/>
      <w:bookmarkEnd w:id="67"/>
      <w:r w:rsidRPr="00540DE8">
        <w:rPr>
          <w:rFonts w:ascii="Arial" w:hAnsi="Arial" w:cs="Arial"/>
          <w:color w:val="000000"/>
          <w:sz w:val="21"/>
          <w:szCs w:val="21"/>
        </w:rPr>
        <w:t>      42. Поставщик МИБП предварительно не позднее 24 часов до поступления груза оповещает получателя о сроке его поставки.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68" w:name="z84"/>
      <w:bookmarkEnd w:id="68"/>
      <w:r w:rsidRPr="00540DE8">
        <w:rPr>
          <w:rFonts w:ascii="Arial" w:hAnsi="Arial" w:cs="Arial"/>
          <w:color w:val="000000"/>
          <w:sz w:val="21"/>
          <w:szCs w:val="21"/>
        </w:rPr>
        <w:t xml:space="preserve">      43. При получении МИБП груз незамедлительно помещается в холодильное оборудование, холодильные и морозильные комнаты или камеры и производится разгрузка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>. По окончании разгрузки заполняется акт приема партии МИБП по форме согласно </w:t>
      </w:r>
      <w:hyperlink r:id="rId10" w:anchor="z4" w:tgtFrame="_blank" w:history="1">
        <w:r w:rsidRPr="00540DE8">
          <w:rPr>
            <w:rFonts w:ascii="Arial" w:hAnsi="Arial" w:cs="Arial"/>
            <w:color w:val="0000FF"/>
            <w:sz w:val="21"/>
            <w:u w:val="single"/>
          </w:rPr>
          <w:t>приложению 4</w:t>
        </w:r>
      </w:hyperlink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t>к настоящим Правилам. При этом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,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проверяются показатели вложенных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термоиндикаторов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>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Все данные заносятся в журнал учета МИБП по форме согласно </w:t>
      </w:r>
      <w:hyperlink r:id="rId11" w:anchor="z5" w:tgtFrame="_blank" w:history="1">
        <w:r w:rsidRPr="00540DE8">
          <w:rPr>
            <w:rFonts w:ascii="Arial" w:hAnsi="Arial" w:cs="Arial"/>
            <w:color w:val="0000FF"/>
            <w:sz w:val="21"/>
            <w:u w:val="single"/>
          </w:rPr>
          <w:t>приложению 5</w:t>
        </w:r>
      </w:hyperlink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t>к настоящим Правилам.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69" w:name="z85"/>
      <w:bookmarkEnd w:id="69"/>
      <w:r w:rsidRPr="00540DE8">
        <w:rPr>
          <w:rFonts w:ascii="Arial" w:hAnsi="Arial" w:cs="Arial"/>
          <w:color w:val="000000"/>
          <w:sz w:val="21"/>
          <w:szCs w:val="21"/>
        </w:rPr>
        <w:t>      44. В случае истечения срока годности, наличия признаков непригодности (изменение цвета, наличие посторонних элементов, осадка, трещин на емкости, отсутствие или недостаточный объем) МИБП списываются и уничтожаются.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Уничтожение МИБП проводится в соответствии со </w:t>
      </w:r>
      <w:hyperlink r:id="rId12" w:anchor="z977" w:tgtFrame="_blank" w:history="1">
        <w:r w:rsidRPr="00540DE8">
          <w:rPr>
            <w:rFonts w:ascii="Arial" w:hAnsi="Arial" w:cs="Arial"/>
            <w:color w:val="0000FF"/>
            <w:sz w:val="21"/>
            <w:u w:val="single"/>
          </w:rPr>
          <w:t>статьей 79</w:t>
        </w:r>
      </w:hyperlink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t>Кодекса Республики Казахстан от 18 сентября 2009 года «О здоровье народа и системе здравоохранения».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70" w:name="z86"/>
      <w:bookmarkEnd w:id="70"/>
      <w:r w:rsidRPr="00540DE8">
        <w:rPr>
          <w:rFonts w:ascii="Arial" w:hAnsi="Arial" w:cs="Arial"/>
          <w:color w:val="000000"/>
          <w:sz w:val="21"/>
          <w:szCs w:val="21"/>
        </w:rPr>
        <w:t>      45. При выдаче или отправлении МИБП оформляется накладная в двух экземплярах, один из которых выдается получателю, второй передается в бухгалтерию медицинской организации.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71" w:name="z87"/>
      <w:bookmarkEnd w:id="71"/>
      <w:r w:rsidRPr="00540DE8">
        <w:rPr>
          <w:rFonts w:ascii="Arial" w:hAnsi="Arial" w:cs="Arial"/>
          <w:color w:val="000000"/>
          <w:sz w:val="21"/>
          <w:szCs w:val="21"/>
        </w:rPr>
        <w:t xml:space="preserve">      46.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В медицинских организациях, осуществляющих хранение и использование МИБП, имеются: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1) учетная и отчетная документация (накладные на полученные, выданные МИБП, заявка на получение МИБП, доверенности, ежемесячные отчеты о полученных и израсходованных МИБП, акты списания и уничтожения);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2) акты плановых и внеплановых проверок, проведенных территориальным подразделением ведомства государственного органа в сфере санитарно-эпидемиологического благополучия населения;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3) инструкции по применению МИБП;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4) стандартные операционные процедуры (далее - СОП).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72" w:name="z88"/>
      <w:bookmarkEnd w:id="72"/>
      <w:r w:rsidRPr="00540DE8">
        <w:rPr>
          <w:rFonts w:ascii="Arial" w:hAnsi="Arial" w:cs="Arial"/>
          <w:color w:val="000000"/>
          <w:sz w:val="21"/>
          <w:szCs w:val="21"/>
        </w:rPr>
        <w:t xml:space="preserve">      47.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При учете МИБП регистрируются количество, номер серии, срок годности МИБП и их растворителей, статус (возвращен, бракован, отозван, изъят, приостановлен, с истекшим сроком годности).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Инвентаризация МИБП проводится не реже 2 раз в год с оформлением акта сверки, содержащего наименование МИБП, фактическое количество остатка на складе и количество по данным журнала учета медицинских иммунобиологических препаратов, наличие отклонений, который составляется в двух экземплярах, один из которых хранится на складе, другой передается в бухгалтерию организации.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73" w:name="z89"/>
      <w:bookmarkEnd w:id="73"/>
      <w:r w:rsidRPr="00540DE8">
        <w:rPr>
          <w:rFonts w:ascii="Arial" w:hAnsi="Arial" w:cs="Arial"/>
          <w:color w:val="000000"/>
          <w:sz w:val="21"/>
          <w:szCs w:val="21"/>
        </w:rPr>
        <w:t xml:space="preserve">      48. На каждом уровне хранения и транспортировки МИБП руководителем организации разрабатываются и утверждаются СОП, охватывающие области правильного хранения, транспортировки и использования МИБП, включая следующие вопросы,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но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не ограничиваясь ими: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1) тестирование зон температурных колебаний (картографирование);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2) калибровка устройств для мониторинга температуры, влажности и систем сигнализации;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3) обслуживание помещений;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4) мониторинг температуры;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5) обслуживание оборудования по контролю температуры;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6) процедуры регистрации получения МИБП;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7) процедуры хранения запасов МИБП;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8) подготовка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с МИБП к отправке;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9) работа транспортных средств с контролируемой температурой (авторефрижераторов);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10) безопасная работа с МИБП;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11) процедуры, связанные с возвратом, приостановлением, порчи МИБП;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12) безопасное уничтожение не пригодных МИБП;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13) мероприятия в случае отклонений температуры;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14) процедуры при реагировании на чрезвычайные ситуации;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15) уборка помещений.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СОП направляются ответственным лицам для использования в работе и, при необходимости, регулярно обновляются.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74" w:name="z90"/>
      <w:bookmarkEnd w:id="74"/>
      <w:r w:rsidRPr="00540DE8">
        <w:rPr>
          <w:rFonts w:ascii="Arial" w:hAnsi="Arial" w:cs="Arial"/>
          <w:color w:val="000000"/>
          <w:sz w:val="21"/>
          <w:szCs w:val="21"/>
        </w:rPr>
        <w:t xml:space="preserve">      49.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В целях безопасности иммунизации населения при хранении, транспортировке и использовании МИБП соблюдаются следующие условия: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1) использование для введения МИБП стерильного самоблокирующегося или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саморазрушающегося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шприца;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2) уничтожение шприцев и игл с нарушенной целостностью упаковки, с истекшим сроком хранения, с видимыми признаками загрязнения;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3) вскрытие упаковки непосредственно перед использованием шприца;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4) выделение отдельного помещения для хранения шприцев и КБСУ;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5) применение качественных и безопасных МИБП;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6) использование одноразового стерильного шприца и иглы для разведения каждого флакона МИБП;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7) удаление иглы из пробки флакона сразу после разведения МИБП;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8) использование полного объема растворителя к МИБП при разведении, если другое не предусмотрено инструкцией к МИБП;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9) соблюдение техники введения и правильный выбор области тела при введении МИБП;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10) использование для обработки пробок флакона с МИБП и обработки области тела, куда вводится МИБП, отдельными ватными или марлевыми шариками;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11) хранение ватных или марлевых шариков для обработки области тела в сухом виде, а не в спирте;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12) использование одноразовых перчаток при наличии повреждений кожи на руках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вакцинатора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>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13) осмотр прививаемого врачом, при его отсутствии - фельдшером, с оформлением разрешения к проведению профилактической прививки в медицинской документации прививаемого;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14) проведение прививок несовершеннолетним, недееспособным, после предварительного оповещения родителей или их законных представителей и их согласия на проведение профилактических прививок;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15) обеспечение минимально возможного времени после вскрытия упаковки шприца до введения МИБП;</w:t>
      </w:r>
      <w:proofErr w:type="gramEnd"/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16) рекомендуемая Всемирной организацией здравоохранения правильная поза ребенка во время введения МИБП;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17) соблюдение принципа комплексного снабжения прививочных кабинетов МИБП, самоблокирующимися и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саморазрушающимися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шприцами и КБСУ;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18) расположение КБСУ на устойчивой поверхности рядом с местом непосредственного проведения инъекции;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19) сбор использованных шприцев с иглой в КБСУ немедленно после инъекции, без предварительного промывания, дезинфекции, разбора и деформирования;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20) закрытие клапана КБСУ при ее заполнении на три четверти (или до отметки);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21) выделение специально отведенного места для временного хранения КБСУ, заполненных использованными шприцами;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22) уничтожение заполненных КБСУ.</w:t>
      </w:r>
      <w:proofErr w:type="gramEnd"/>
    </w:p>
    <w:p w:rsidR="00540DE8" w:rsidRPr="00540DE8" w:rsidRDefault="00540DE8" w:rsidP="00540DE8">
      <w:pPr>
        <w:spacing w:before="100" w:beforeAutospacing="1" w:after="100" w:afterAutospacing="1" w:line="345" w:lineRule="atLeast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40DE8">
        <w:rPr>
          <w:rFonts w:ascii="Arial" w:hAnsi="Arial" w:cs="Arial"/>
          <w:b/>
          <w:bCs/>
          <w:color w:val="000000"/>
          <w:sz w:val="27"/>
          <w:szCs w:val="27"/>
        </w:rPr>
        <w:t>3. Порядок хранения, транспортировки и использования</w:t>
      </w:r>
      <w:r w:rsidRPr="00540DE8">
        <w:rPr>
          <w:rFonts w:ascii="Arial" w:hAnsi="Arial" w:cs="Arial"/>
          <w:b/>
          <w:bCs/>
          <w:color w:val="000000"/>
          <w:sz w:val="27"/>
          <w:szCs w:val="27"/>
        </w:rPr>
        <w:br/>
        <w:t>диагностических препаратов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      50. Склад для хранения ДП размещается в отдельно стоящем здании или на первом этаже здания медицинской организации либо в сухом проветриваемом подвальном помещении. Допускается размещение склада непосредственно в лабораториях.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     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Требования к отоплению, вентиляции, искусственному и естественному освещению обеспечиваются в соответствии с санитарными правилами «Санитарно-эпидемиологические требования к объектам в сфере обращения лекарственных средств, изделий медицинского назначения и медицинской техники», утвержденных государственным органом в сфере санитарно-эпидемиологического благополучия населения в соответствии с </w:t>
      </w:r>
      <w:hyperlink r:id="rId13" w:anchor="z1478" w:tgtFrame="_blank" w:history="1">
        <w:r w:rsidRPr="00540DE8">
          <w:rPr>
            <w:rFonts w:ascii="Arial" w:hAnsi="Arial" w:cs="Arial"/>
            <w:color w:val="0000FF"/>
            <w:sz w:val="21"/>
            <w:u w:val="single"/>
          </w:rPr>
          <w:t>пунктом 6</w:t>
        </w:r>
      </w:hyperlink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t>статьи 144 Кодекса Республики Казахстан от 18 сентября 2009 года «О здоровье народа и системе здравоохранения».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75" w:name="z93"/>
      <w:bookmarkEnd w:id="75"/>
      <w:r w:rsidRPr="00540DE8">
        <w:rPr>
          <w:rFonts w:ascii="Arial" w:hAnsi="Arial" w:cs="Arial"/>
          <w:color w:val="000000"/>
          <w:sz w:val="21"/>
          <w:szCs w:val="21"/>
        </w:rPr>
        <w:t>      51.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Склад для хранения ДП запирается и в конце рабочего дня опечатывается ответственным лицом за хранение ДП.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76" w:name="z94"/>
      <w:bookmarkEnd w:id="76"/>
      <w:r w:rsidRPr="00540DE8">
        <w:rPr>
          <w:rFonts w:ascii="Arial" w:hAnsi="Arial" w:cs="Arial"/>
          <w:color w:val="000000"/>
          <w:sz w:val="21"/>
          <w:szCs w:val="21"/>
        </w:rPr>
        <w:t>      52. ДП защищаются от воздействия света.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77" w:name="z95"/>
      <w:bookmarkEnd w:id="77"/>
      <w:r w:rsidRPr="00540DE8">
        <w:rPr>
          <w:rFonts w:ascii="Arial" w:hAnsi="Arial" w:cs="Arial"/>
          <w:color w:val="000000"/>
          <w:sz w:val="21"/>
          <w:szCs w:val="21"/>
        </w:rPr>
        <w:t>      53. Хранение ДП осуществляется при температуре от плюс 2</w:t>
      </w:r>
      <w:r w:rsidRPr="00540DE8">
        <w:rPr>
          <w:rFonts w:ascii="Arial" w:hAnsi="Arial" w:cs="Arial"/>
          <w:color w:val="000000"/>
          <w:sz w:val="21"/>
          <w:szCs w:val="21"/>
          <w:vertAlign w:val="superscript"/>
        </w:rPr>
        <w:t>0</w:t>
      </w:r>
      <w:r w:rsidRPr="00540DE8">
        <w:rPr>
          <w:rFonts w:ascii="Arial" w:hAnsi="Arial" w:cs="Arial"/>
          <w:color w:val="000000"/>
          <w:sz w:val="21"/>
          <w:szCs w:val="21"/>
        </w:rPr>
        <w:t>С до плюс 8</w:t>
      </w:r>
      <w:r w:rsidRPr="00540DE8">
        <w:rPr>
          <w:rFonts w:ascii="Arial" w:hAnsi="Arial" w:cs="Arial"/>
          <w:color w:val="000000"/>
          <w:sz w:val="21"/>
          <w:szCs w:val="21"/>
          <w:vertAlign w:val="superscript"/>
        </w:rPr>
        <w:t>0</w:t>
      </w:r>
      <w:r w:rsidRPr="00540DE8">
        <w:rPr>
          <w:rFonts w:ascii="Arial" w:hAnsi="Arial" w:cs="Arial"/>
          <w:color w:val="000000"/>
          <w:sz w:val="21"/>
          <w:szCs w:val="21"/>
        </w:rPr>
        <w:t xml:space="preserve">С, за исключением ДП, требующих условий хранения при низкой температуре, которые хранятся при температурном режиме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минус 20</w:t>
      </w:r>
      <w:r w:rsidRPr="00540DE8">
        <w:rPr>
          <w:rFonts w:ascii="Arial" w:hAnsi="Arial" w:cs="Arial"/>
          <w:color w:val="000000"/>
          <w:sz w:val="21"/>
          <w:szCs w:val="21"/>
          <w:vertAlign w:val="superscript"/>
        </w:rPr>
        <w:t>0</w:t>
      </w:r>
      <w:r w:rsidRPr="00540DE8">
        <w:rPr>
          <w:rFonts w:ascii="Arial" w:hAnsi="Arial" w:cs="Arial"/>
          <w:color w:val="000000"/>
          <w:sz w:val="21"/>
          <w:szCs w:val="21"/>
        </w:rPr>
        <w:t>С.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78" w:name="z96"/>
      <w:bookmarkEnd w:id="78"/>
      <w:r w:rsidRPr="00540DE8">
        <w:rPr>
          <w:rFonts w:ascii="Arial" w:hAnsi="Arial" w:cs="Arial"/>
          <w:color w:val="000000"/>
          <w:sz w:val="21"/>
          <w:szCs w:val="21"/>
        </w:rPr>
        <w:t>      54. При хранении ДП размещаются на стеллажах или полках холодильного оборудования раздельно по их видам, с учетом сроков годности и серии.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79" w:name="z97"/>
      <w:bookmarkEnd w:id="79"/>
      <w:r w:rsidRPr="00540DE8">
        <w:rPr>
          <w:rFonts w:ascii="Arial" w:hAnsi="Arial" w:cs="Arial"/>
          <w:color w:val="000000"/>
          <w:sz w:val="21"/>
          <w:szCs w:val="21"/>
        </w:rPr>
        <w:t>      55. На случай возникновения неисправности холодильного оборудования или отключения электроэнергии, руководителем медицинской организации разрабатывается и утверждается план экстренных мероприятий, который согласовывается с руководителем организации, в которой предполагается временное размещение ДП.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80" w:name="z98"/>
      <w:bookmarkEnd w:id="80"/>
      <w:r w:rsidRPr="00540DE8">
        <w:rPr>
          <w:rFonts w:ascii="Arial" w:hAnsi="Arial" w:cs="Arial"/>
          <w:color w:val="000000"/>
          <w:sz w:val="21"/>
          <w:szCs w:val="21"/>
        </w:rPr>
        <w:t>      56. Не реже одного раза в год холодильное оборудование подвергается плановому профилактическому техническому осмотру квалифицированным специалистом с обязательным составлением акта технического осмотра, содержащего оценку технического состояния, выявленные замечания и предложения по устранению замечаний, который хранится у ответственного лица.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81" w:name="z99"/>
      <w:bookmarkEnd w:id="81"/>
      <w:r w:rsidRPr="00540DE8">
        <w:rPr>
          <w:rFonts w:ascii="Arial" w:hAnsi="Arial" w:cs="Arial"/>
          <w:color w:val="000000"/>
          <w:sz w:val="21"/>
          <w:szCs w:val="21"/>
        </w:rPr>
        <w:t>      57. ДП отпускаются со склада вышестоящего уровня при предъявлении доверенности на получение ДП по заявке получателя.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82" w:name="z100"/>
      <w:bookmarkEnd w:id="82"/>
      <w:r w:rsidRPr="00540DE8">
        <w:rPr>
          <w:rFonts w:ascii="Arial" w:hAnsi="Arial" w:cs="Arial"/>
          <w:color w:val="000000"/>
          <w:sz w:val="21"/>
          <w:szCs w:val="21"/>
        </w:rPr>
        <w:t xml:space="preserve">      58. Транспортировка ДП осуществляется в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термоконтейнерах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с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хладоэлементами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>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83" w:name="z101"/>
      <w:bookmarkEnd w:id="83"/>
      <w:r w:rsidRPr="00540DE8">
        <w:rPr>
          <w:rFonts w:ascii="Arial" w:hAnsi="Arial" w:cs="Arial"/>
          <w:color w:val="000000"/>
          <w:sz w:val="21"/>
          <w:szCs w:val="21"/>
        </w:rPr>
        <w:t>      59. При получении ДП груз незамедлительно помещается в холодильное оборудование. Сведения заносятся в журналы учета ДП по форме согласно </w:t>
      </w:r>
      <w:hyperlink r:id="rId14" w:anchor="z6" w:tgtFrame="_blank" w:history="1">
        <w:r w:rsidRPr="00540DE8">
          <w:rPr>
            <w:rFonts w:ascii="Arial" w:hAnsi="Arial" w:cs="Arial"/>
            <w:color w:val="0000FF"/>
            <w:sz w:val="21"/>
            <w:u w:val="single"/>
          </w:rPr>
          <w:t>приложению 6</w:t>
        </w:r>
      </w:hyperlink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t>к настоящим Правилам.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84" w:name="z102"/>
      <w:bookmarkEnd w:id="84"/>
      <w:r w:rsidRPr="00540DE8">
        <w:rPr>
          <w:rFonts w:ascii="Arial" w:hAnsi="Arial" w:cs="Arial"/>
          <w:color w:val="000000"/>
          <w:sz w:val="21"/>
          <w:szCs w:val="21"/>
        </w:rPr>
        <w:t>      60. В случае истечения срока годности, наличия признаков непригодности (изменение цвета, наличие посторонних элементов, осадка, трещин на емкости, отсутствие или недостаточный объем) ДП списываются и уничтожаются с оформлением актов списания и уничтожения.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85" w:name="z103"/>
      <w:bookmarkEnd w:id="85"/>
      <w:r w:rsidRPr="00540DE8">
        <w:rPr>
          <w:rFonts w:ascii="Arial" w:hAnsi="Arial" w:cs="Arial"/>
          <w:color w:val="000000"/>
          <w:sz w:val="21"/>
          <w:szCs w:val="21"/>
        </w:rPr>
        <w:t>      61. При выдаче или отправлении ДП оформляется накладная в двух экземплярах, один из которых выдается получателю, второй передается в бухгалтерию организации здравоохранения.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86" w:name="z104"/>
      <w:bookmarkEnd w:id="86"/>
      <w:r w:rsidRPr="00540DE8">
        <w:rPr>
          <w:rFonts w:ascii="Arial" w:hAnsi="Arial" w:cs="Arial"/>
          <w:color w:val="000000"/>
          <w:sz w:val="21"/>
          <w:szCs w:val="21"/>
        </w:rPr>
        <w:t xml:space="preserve">      62.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В организациях, осуществляющих хранение и использование ДП, имеются: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1) учетная и отчетная документация (накладные на полученные, выданные ДП, заявка на получение, доверенности, ежемесячные отчеты о полученных и израсходованных ДП, акты списания и уничтожения);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2) акты проверок, проведенных территориальным подразделением ведомства государственного органа в сфере санитарно-эпидемиологического благополучия населения;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3) рекомендации по применению ДП.</w:t>
      </w:r>
      <w:proofErr w:type="gramEnd"/>
    </w:p>
    <w:p w:rsidR="00540DE8" w:rsidRPr="00540DE8" w:rsidRDefault="00540DE8" w:rsidP="00540DE8">
      <w:pPr>
        <w:spacing w:before="100" w:beforeAutospacing="1" w:after="100" w:afterAutospacing="1" w:line="345" w:lineRule="atLeast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40DE8">
        <w:rPr>
          <w:rFonts w:ascii="Arial" w:hAnsi="Arial" w:cs="Arial"/>
          <w:b/>
          <w:bCs/>
          <w:color w:val="000000"/>
          <w:sz w:val="27"/>
          <w:szCs w:val="27"/>
        </w:rPr>
        <w:t>4. Порядок хранения, транспортировки и использования</w:t>
      </w:r>
      <w:r w:rsidRPr="00540DE8">
        <w:rPr>
          <w:rFonts w:ascii="Arial" w:hAnsi="Arial" w:cs="Arial"/>
          <w:b/>
          <w:bCs/>
          <w:color w:val="000000"/>
          <w:sz w:val="27"/>
          <w:szCs w:val="27"/>
        </w:rPr>
        <w:br/>
        <w:t>дезинфицирующих препаратов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 xml:space="preserve">      63. Склад для хранения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дезпрепаратов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размещается в отдельно стоящем здании, оборудованном приточно-вытяжной вентиляцией.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Дезпрепараты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хранятся в неповрежденной таре. Препараты дезинфекции, дезинсекции и дератизации хранятся раздельно в разных помещениях.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87" w:name="z107"/>
      <w:bookmarkEnd w:id="87"/>
      <w:r w:rsidRPr="00540DE8">
        <w:rPr>
          <w:rFonts w:ascii="Arial" w:hAnsi="Arial" w:cs="Arial"/>
          <w:color w:val="000000"/>
          <w:sz w:val="21"/>
          <w:szCs w:val="21"/>
        </w:rPr>
        <w:t>      64. Препараты дезинсекции и дератизации хранятся в плотно закрытой неповрежденной таре, с соответствующей предупредительной маркировкой, включающей надпись «токсично».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88" w:name="z108"/>
      <w:bookmarkEnd w:id="88"/>
      <w:r w:rsidRPr="00540DE8">
        <w:rPr>
          <w:rFonts w:ascii="Arial" w:hAnsi="Arial" w:cs="Arial"/>
          <w:color w:val="000000"/>
          <w:sz w:val="21"/>
          <w:szCs w:val="21"/>
        </w:rPr>
        <w:t xml:space="preserve">      65. Для хранения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мелкотарных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дезпрепаратов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устанавливаются металлические стеллажи, а для хранения бутылей – деревянные полки.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89" w:name="z109"/>
      <w:bookmarkEnd w:id="89"/>
      <w:r w:rsidRPr="00540DE8">
        <w:rPr>
          <w:rFonts w:ascii="Arial" w:hAnsi="Arial" w:cs="Arial"/>
          <w:color w:val="000000"/>
          <w:sz w:val="21"/>
          <w:szCs w:val="21"/>
        </w:rPr>
        <w:t xml:space="preserve">      66. В помещениях для хранения и использования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дезпрепаратов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не допускается хранение посторонних предметов, курение, прием пищи.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90" w:name="z110"/>
      <w:bookmarkEnd w:id="90"/>
      <w:r w:rsidRPr="00540DE8">
        <w:rPr>
          <w:rFonts w:ascii="Arial" w:hAnsi="Arial" w:cs="Arial"/>
          <w:color w:val="000000"/>
          <w:sz w:val="21"/>
          <w:szCs w:val="21"/>
        </w:rPr>
        <w:t xml:space="preserve">      67. Не допускается передавать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дезпрепараты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посторонним лицам и оставлять их без присмотра.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91" w:name="z111"/>
      <w:bookmarkEnd w:id="91"/>
      <w:r w:rsidRPr="00540DE8">
        <w:rPr>
          <w:rFonts w:ascii="Arial" w:hAnsi="Arial" w:cs="Arial"/>
          <w:color w:val="000000"/>
          <w:sz w:val="21"/>
          <w:szCs w:val="21"/>
        </w:rPr>
        <w:t xml:space="preserve">      68. Учет прихода и расхода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дезпрепаратов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проводится в журнале учета дезинфицирующих препаратов по форме согласно </w:t>
      </w:r>
      <w:hyperlink r:id="rId15" w:anchor="z7" w:tgtFrame="_blank" w:history="1">
        <w:r w:rsidRPr="00540DE8">
          <w:rPr>
            <w:rFonts w:ascii="Arial" w:hAnsi="Arial" w:cs="Arial"/>
            <w:color w:val="0000FF"/>
            <w:sz w:val="21"/>
            <w:u w:val="single"/>
          </w:rPr>
          <w:t>приложению 7</w:t>
        </w:r>
      </w:hyperlink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t>к настоящим Правилам, учет использования – в журнале учета использования дезинфицирующих препаратов по форме согласно </w:t>
      </w:r>
      <w:hyperlink r:id="rId16" w:anchor="z8" w:tgtFrame="_blank" w:history="1">
        <w:r w:rsidRPr="00540DE8">
          <w:rPr>
            <w:rFonts w:ascii="Arial" w:hAnsi="Arial" w:cs="Arial"/>
            <w:color w:val="0000FF"/>
            <w:sz w:val="21"/>
            <w:u w:val="single"/>
          </w:rPr>
          <w:t>приложению 8</w:t>
        </w:r>
      </w:hyperlink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t>к настоящим Правилам.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92" w:name="z112"/>
      <w:bookmarkEnd w:id="92"/>
      <w:r w:rsidRPr="00540DE8">
        <w:rPr>
          <w:rFonts w:ascii="Arial" w:hAnsi="Arial" w:cs="Arial"/>
          <w:color w:val="000000"/>
          <w:sz w:val="21"/>
          <w:szCs w:val="21"/>
        </w:rPr>
        <w:t xml:space="preserve">      69.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Дезпрепараты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оставшиеся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после обработок, в конце рабочего дня передаются ответственному лицу.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93" w:name="z113"/>
      <w:bookmarkEnd w:id="93"/>
      <w:r w:rsidRPr="00540DE8">
        <w:rPr>
          <w:rFonts w:ascii="Arial" w:hAnsi="Arial" w:cs="Arial"/>
          <w:color w:val="000000"/>
          <w:sz w:val="21"/>
          <w:szCs w:val="21"/>
        </w:rPr>
        <w:t xml:space="preserve">      70.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Дезпрепараты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транспортируются специализированными автотранспортными средствами или другими транспортными средствами, приспособленными для перевозки опасных грузов.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94" w:name="z114"/>
      <w:bookmarkEnd w:id="94"/>
      <w:r w:rsidRPr="00540DE8">
        <w:rPr>
          <w:rFonts w:ascii="Arial" w:hAnsi="Arial" w:cs="Arial"/>
          <w:color w:val="000000"/>
          <w:sz w:val="21"/>
          <w:szCs w:val="21"/>
        </w:rPr>
        <w:t xml:space="preserve">      71. При выгрузке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дезпрепаратов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из вагона (контейнера), перед открытием проверяется целостность пломб. При наличии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просыпанных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 xml:space="preserve"> (пролитых)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дезпрепаратов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проводится уборка и дезактивация транспортного средства.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95" w:name="z115"/>
      <w:bookmarkEnd w:id="95"/>
      <w:r w:rsidRPr="00540DE8">
        <w:rPr>
          <w:rFonts w:ascii="Arial" w:hAnsi="Arial" w:cs="Arial"/>
          <w:color w:val="000000"/>
          <w:sz w:val="21"/>
          <w:szCs w:val="21"/>
        </w:rPr>
        <w:t xml:space="preserve">      72. Фасовка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дезпрепаратов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осуществляется в вытяжном шкафу или под вытяжным зонтом в специально отведенном помещении.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</w:r>
      <w:bookmarkStart w:id="96" w:name="z116"/>
      <w:bookmarkEnd w:id="96"/>
      <w:r w:rsidRPr="00540DE8">
        <w:rPr>
          <w:rFonts w:ascii="Arial" w:hAnsi="Arial" w:cs="Arial"/>
          <w:color w:val="000000"/>
          <w:sz w:val="21"/>
          <w:szCs w:val="21"/>
        </w:rPr>
        <w:t xml:space="preserve">      73. Тара из-под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дезпрепаратов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обезвреживается после тщательной очистки от остатков препаратов с последующим промыванием 3 - 5 процентным раствором кальцинированной соды (300 - 500 граммов на 10 литров воды). После промывки тара заливается этим раствором, время экспозиции составляет не менее 6 часов, затем многократно промывается водой.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Приложение 1           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к Правилам хранения, транспортировки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и использования профилактических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(иммунобиологических, диагностических,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дезинфицирующих) препаратов   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Форма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       Акт профилактического технического осмотра состояния складских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            помещений и их коммунальных сооружений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                «____» __________ 20___ года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2649"/>
        <w:gridCol w:w="2649"/>
        <w:gridCol w:w="2152"/>
        <w:gridCol w:w="2373"/>
      </w:tblGrid>
      <w:tr w:rsidR="00540DE8" w:rsidRPr="00540DE8" w:rsidTr="00540DE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№</w:t>
            </w:r>
          </w:p>
        </w:tc>
        <w:tc>
          <w:tcPr>
            <w:tcW w:w="2295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Наименование и виды помещений, коммунальных сооружений</w:t>
            </w:r>
          </w:p>
        </w:tc>
        <w:tc>
          <w:tcPr>
            <w:tcW w:w="2295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Оценка технического состояния</w:t>
            </w:r>
          </w:p>
        </w:tc>
        <w:tc>
          <w:tcPr>
            <w:tcW w:w="186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Выявленные замечания</w:t>
            </w:r>
          </w:p>
        </w:tc>
        <w:tc>
          <w:tcPr>
            <w:tcW w:w="204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Рекомендации по устранению</w:t>
            </w:r>
          </w:p>
        </w:tc>
      </w:tr>
      <w:tr w:rsidR="00540DE8" w:rsidRPr="00540DE8" w:rsidTr="00540DE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540DE8" w:rsidRPr="00540DE8" w:rsidRDefault="00540DE8" w:rsidP="00540DE8"/>
        </w:tc>
        <w:tc>
          <w:tcPr>
            <w:tcW w:w="2295" w:type="dxa"/>
            <w:vAlign w:val="center"/>
            <w:hideMark/>
          </w:tcPr>
          <w:p w:rsidR="00540DE8" w:rsidRPr="00540DE8" w:rsidRDefault="00540DE8" w:rsidP="00540DE8"/>
        </w:tc>
        <w:tc>
          <w:tcPr>
            <w:tcW w:w="2295" w:type="dxa"/>
            <w:vAlign w:val="center"/>
            <w:hideMark/>
          </w:tcPr>
          <w:p w:rsidR="00540DE8" w:rsidRPr="00540DE8" w:rsidRDefault="00540DE8" w:rsidP="00540DE8"/>
        </w:tc>
        <w:tc>
          <w:tcPr>
            <w:tcW w:w="1860" w:type="dxa"/>
            <w:vAlign w:val="center"/>
            <w:hideMark/>
          </w:tcPr>
          <w:p w:rsidR="00540DE8" w:rsidRPr="00540DE8" w:rsidRDefault="00540DE8" w:rsidP="00540DE8"/>
        </w:tc>
        <w:tc>
          <w:tcPr>
            <w:tcW w:w="2040" w:type="dxa"/>
            <w:vAlign w:val="center"/>
            <w:hideMark/>
          </w:tcPr>
          <w:p w:rsidR="00540DE8" w:rsidRPr="00540DE8" w:rsidRDefault="00540DE8" w:rsidP="00540DE8"/>
        </w:tc>
      </w:tr>
      <w:tr w:rsidR="00540DE8" w:rsidRPr="00540DE8" w:rsidTr="00540DE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540DE8" w:rsidRPr="00540DE8" w:rsidRDefault="00540DE8" w:rsidP="00540DE8"/>
        </w:tc>
        <w:tc>
          <w:tcPr>
            <w:tcW w:w="2295" w:type="dxa"/>
            <w:vAlign w:val="center"/>
            <w:hideMark/>
          </w:tcPr>
          <w:p w:rsidR="00540DE8" w:rsidRPr="00540DE8" w:rsidRDefault="00540DE8" w:rsidP="00540DE8"/>
        </w:tc>
        <w:tc>
          <w:tcPr>
            <w:tcW w:w="2295" w:type="dxa"/>
            <w:vAlign w:val="center"/>
            <w:hideMark/>
          </w:tcPr>
          <w:p w:rsidR="00540DE8" w:rsidRPr="00540DE8" w:rsidRDefault="00540DE8" w:rsidP="00540DE8"/>
        </w:tc>
        <w:tc>
          <w:tcPr>
            <w:tcW w:w="1860" w:type="dxa"/>
            <w:vAlign w:val="center"/>
            <w:hideMark/>
          </w:tcPr>
          <w:p w:rsidR="00540DE8" w:rsidRPr="00540DE8" w:rsidRDefault="00540DE8" w:rsidP="00540DE8"/>
        </w:tc>
        <w:tc>
          <w:tcPr>
            <w:tcW w:w="2040" w:type="dxa"/>
            <w:vAlign w:val="center"/>
            <w:hideMark/>
          </w:tcPr>
          <w:p w:rsidR="00540DE8" w:rsidRPr="00540DE8" w:rsidRDefault="00540DE8" w:rsidP="00540DE8"/>
        </w:tc>
      </w:tr>
      <w:tr w:rsidR="00540DE8" w:rsidRPr="00540DE8" w:rsidTr="00540DE8">
        <w:trPr>
          <w:tblCellSpacing w:w="15" w:type="dxa"/>
        </w:trPr>
        <w:tc>
          <w:tcPr>
            <w:tcW w:w="555" w:type="dxa"/>
            <w:vAlign w:val="center"/>
            <w:hideMark/>
          </w:tcPr>
          <w:p w:rsidR="00540DE8" w:rsidRPr="00540DE8" w:rsidRDefault="00540DE8" w:rsidP="00540DE8"/>
        </w:tc>
        <w:tc>
          <w:tcPr>
            <w:tcW w:w="2295" w:type="dxa"/>
            <w:vAlign w:val="center"/>
            <w:hideMark/>
          </w:tcPr>
          <w:p w:rsidR="00540DE8" w:rsidRPr="00540DE8" w:rsidRDefault="00540DE8" w:rsidP="00540DE8"/>
        </w:tc>
        <w:tc>
          <w:tcPr>
            <w:tcW w:w="2295" w:type="dxa"/>
            <w:vAlign w:val="center"/>
            <w:hideMark/>
          </w:tcPr>
          <w:p w:rsidR="00540DE8" w:rsidRPr="00540DE8" w:rsidRDefault="00540DE8" w:rsidP="00540DE8"/>
        </w:tc>
        <w:tc>
          <w:tcPr>
            <w:tcW w:w="1860" w:type="dxa"/>
            <w:vAlign w:val="center"/>
            <w:hideMark/>
          </w:tcPr>
          <w:p w:rsidR="00540DE8" w:rsidRPr="00540DE8" w:rsidRDefault="00540DE8" w:rsidP="00540DE8"/>
        </w:tc>
        <w:tc>
          <w:tcPr>
            <w:tcW w:w="2040" w:type="dxa"/>
            <w:vAlign w:val="center"/>
            <w:hideMark/>
          </w:tcPr>
          <w:p w:rsidR="00540DE8" w:rsidRPr="00540DE8" w:rsidRDefault="00540DE8" w:rsidP="00540DE8"/>
        </w:tc>
      </w:tr>
    </w:tbl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Составляется в 2 экземплярах, из них один хранится у ответственного</w:t>
      </w:r>
      <w:r w:rsidRPr="00540DE8">
        <w:rPr>
          <w:rFonts w:ascii="Arial" w:hAnsi="Arial" w:cs="Arial"/>
          <w:color w:val="000000"/>
          <w:sz w:val="21"/>
          <w:szCs w:val="21"/>
        </w:rPr>
        <w:br/>
        <w:t>лица на складе для хранения вакцин и других иммунобиологических</w:t>
      </w:r>
      <w:r w:rsidRPr="00540DE8">
        <w:rPr>
          <w:rFonts w:ascii="Arial" w:hAnsi="Arial" w:cs="Arial"/>
          <w:color w:val="000000"/>
          <w:sz w:val="21"/>
          <w:szCs w:val="21"/>
        </w:rPr>
        <w:br/>
        <w:t>препаратов (МИБП), второй – у руководителя организации,</w:t>
      </w:r>
      <w:r w:rsidRPr="00540DE8">
        <w:rPr>
          <w:rFonts w:ascii="Arial" w:hAnsi="Arial" w:cs="Arial"/>
          <w:color w:val="000000"/>
          <w:sz w:val="21"/>
          <w:szCs w:val="21"/>
        </w:rPr>
        <w:br/>
        <w:t>осуществляющей хранение МИБП.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Фамилия, имя, отчество (при его наличии),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должность и подпись лица, проводившего технический осмотр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 _________________________________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Фамилия, имя, отчество (при его наличии),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Должность и подпись лица, присутствующего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при проведении технического осмотра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 ___________________________________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Приложение 2          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Правилам хранения, транспортировки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и использования профилактических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(иммунобиологических, диагностических,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дезинфицирующих) препаратов   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Форма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                             Журнал учета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  температурного режима холодильного оборудования, холодильных и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                 морозильных комнат или камер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1715"/>
        <w:gridCol w:w="1820"/>
        <w:gridCol w:w="2556"/>
        <w:gridCol w:w="3100"/>
      </w:tblGrid>
      <w:tr w:rsidR="00540DE8" w:rsidRPr="00540DE8" w:rsidTr="00540DE8">
        <w:trPr>
          <w:tblCellSpacing w:w="15" w:type="dxa"/>
        </w:trPr>
        <w:tc>
          <w:tcPr>
            <w:tcW w:w="600" w:type="pct"/>
            <w:vMerge w:val="restar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Дата</w:t>
            </w:r>
          </w:p>
        </w:tc>
        <w:tc>
          <w:tcPr>
            <w:tcW w:w="1650" w:type="pct"/>
            <w:gridSpan w:val="2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Показания термометра</w:t>
            </w:r>
          </w:p>
        </w:tc>
        <w:tc>
          <w:tcPr>
            <w:tcW w:w="1200" w:type="pct"/>
            <w:vMerge w:val="restar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Подпись ответственного работника</w:t>
            </w:r>
          </w:p>
        </w:tc>
        <w:tc>
          <w:tcPr>
            <w:tcW w:w="1450" w:type="pct"/>
            <w:vMerge w:val="restar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Примечание (отметка об отключении электроэнергии, размораживании, неисправности холодильного оборудования)</w:t>
            </w:r>
          </w:p>
        </w:tc>
      </w:tr>
      <w:tr w:rsidR="00540DE8" w:rsidRPr="00540DE8" w:rsidTr="00540D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DE8" w:rsidRPr="00540DE8" w:rsidRDefault="00540DE8" w:rsidP="00540DE8"/>
        </w:tc>
        <w:tc>
          <w:tcPr>
            <w:tcW w:w="80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Утром</w:t>
            </w:r>
          </w:p>
        </w:tc>
        <w:tc>
          <w:tcPr>
            <w:tcW w:w="85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Вечером</w:t>
            </w:r>
          </w:p>
        </w:tc>
        <w:tc>
          <w:tcPr>
            <w:tcW w:w="0" w:type="auto"/>
            <w:vMerge/>
            <w:vAlign w:val="center"/>
            <w:hideMark/>
          </w:tcPr>
          <w:p w:rsidR="00540DE8" w:rsidRPr="00540DE8" w:rsidRDefault="00540DE8" w:rsidP="00540DE8"/>
        </w:tc>
        <w:tc>
          <w:tcPr>
            <w:tcW w:w="0" w:type="auto"/>
            <w:vMerge/>
            <w:vAlign w:val="center"/>
            <w:hideMark/>
          </w:tcPr>
          <w:p w:rsidR="00540DE8" w:rsidRPr="00540DE8" w:rsidRDefault="00540DE8" w:rsidP="00540DE8"/>
        </w:tc>
      </w:tr>
      <w:tr w:rsidR="00540DE8" w:rsidRPr="00540DE8" w:rsidTr="00540DE8">
        <w:trPr>
          <w:tblCellSpacing w:w="15" w:type="dxa"/>
        </w:trPr>
        <w:tc>
          <w:tcPr>
            <w:tcW w:w="600" w:type="pct"/>
            <w:vAlign w:val="center"/>
            <w:hideMark/>
          </w:tcPr>
          <w:p w:rsidR="00540DE8" w:rsidRPr="00540DE8" w:rsidRDefault="00540DE8" w:rsidP="00540DE8"/>
        </w:tc>
        <w:tc>
          <w:tcPr>
            <w:tcW w:w="800" w:type="pct"/>
            <w:vAlign w:val="center"/>
            <w:hideMark/>
          </w:tcPr>
          <w:p w:rsidR="00540DE8" w:rsidRPr="00540DE8" w:rsidRDefault="00540DE8" w:rsidP="00540DE8"/>
        </w:tc>
        <w:tc>
          <w:tcPr>
            <w:tcW w:w="850" w:type="pct"/>
            <w:vAlign w:val="center"/>
            <w:hideMark/>
          </w:tcPr>
          <w:p w:rsidR="00540DE8" w:rsidRPr="00540DE8" w:rsidRDefault="00540DE8" w:rsidP="00540DE8"/>
        </w:tc>
        <w:tc>
          <w:tcPr>
            <w:tcW w:w="1200" w:type="pct"/>
            <w:vAlign w:val="center"/>
            <w:hideMark/>
          </w:tcPr>
          <w:p w:rsidR="00540DE8" w:rsidRPr="00540DE8" w:rsidRDefault="00540DE8" w:rsidP="00540DE8"/>
        </w:tc>
        <w:tc>
          <w:tcPr>
            <w:tcW w:w="1450" w:type="pct"/>
            <w:vAlign w:val="center"/>
            <w:hideMark/>
          </w:tcPr>
          <w:p w:rsidR="00540DE8" w:rsidRPr="00540DE8" w:rsidRDefault="00540DE8" w:rsidP="00540DE8"/>
        </w:tc>
      </w:tr>
      <w:tr w:rsidR="00540DE8" w:rsidRPr="00540DE8" w:rsidTr="00540DE8">
        <w:trPr>
          <w:tblCellSpacing w:w="15" w:type="dxa"/>
        </w:trPr>
        <w:tc>
          <w:tcPr>
            <w:tcW w:w="600" w:type="pct"/>
            <w:vAlign w:val="center"/>
            <w:hideMark/>
          </w:tcPr>
          <w:p w:rsidR="00540DE8" w:rsidRPr="00540DE8" w:rsidRDefault="00540DE8" w:rsidP="00540DE8"/>
        </w:tc>
        <w:tc>
          <w:tcPr>
            <w:tcW w:w="800" w:type="pct"/>
            <w:vAlign w:val="center"/>
            <w:hideMark/>
          </w:tcPr>
          <w:p w:rsidR="00540DE8" w:rsidRPr="00540DE8" w:rsidRDefault="00540DE8" w:rsidP="00540DE8"/>
        </w:tc>
        <w:tc>
          <w:tcPr>
            <w:tcW w:w="850" w:type="pct"/>
            <w:vAlign w:val="center"/>
            <w:hideMark/>
          </w:tcPr>
          <w:p w:rsidR="00540DE8" w:rsidRPr="00540DE8" w:rsidRDefault="00540DE8" w:rsidP="00540DE8"/>
        </w:tc>
        <w:tc>
          <w:tcPr>
            <w:tcW w:w="1200" w:type="pct"/>
            <w:vAlign w:val="center"/>
            <w:hideMark/>
          </w:tcPr>
          <w:p w:rsidR="00540DE8" w:rsidRPr="00540DE8" w:rsidRDefault="00540DE8" w:rsidP="00540DE8"/>
        </w:tc>
        <w:tc>
          <w:tcPr>
            <w:tcW w:w="1450" w:type="pct"/>
            <w:vAlign w:val="center"/>
            <w:hideMark/>
          </w:tcPr>
          <w:p w:rsidR="00540DE8" w:rsidRPr="00540DE8" w:rsidRDefault="00540DE8" w:rsidP="00540DE8"/>
        </w:tc>
      </w:tr>
      <w:tr w:rsidR="00540DE8" w:rsidRPr="00540DE8" w:rsidTr="00540DE8">
        <w:trPr>
          <w:tblCellSpacing w:w="15" w:type="dxa"/>
        </w:trPr>
        <w:tc>
          <w:tcPr>
            <w:tcW w:w="600" w:type="pct"/>
            <w:vAlign w:val="center"/>
            <w:hideMark/>
          </w:tcPr>
          <w:p w:rsidR="00540DE8" w:rsidRPr="00540DE8" w:rsidRDefault="00540DE8" w:rsidP="00540DE8"/>
        </w:tc>
        <w:tc>
          <w:tcPr>
            <w:tcW w:w="800" w:type="pct"/>
            <w:vAlign w:val="center"/>
            <w:hideMark/>
          </w:tcPr>
          <w:p w:rsidR="00540DE8" w:rsidRPr="00540DE8" w:rsidRDefault="00540DE8" w:rsidP="00540DE8"/>
        </w:tc>
        <w:tc>
          <w:tcPr>
            <w:tcW w:w="850" w:type="pct"/>
            <w:vAlign w:val="center"/>
            <w:hideMark/>
          </w:tcPr>
          <w:p w:rsidR="00540DE8" w:rsidRPr="00540DE8" w:rsidRDefault="00540DE8" w:rsidP="00540DE8"/>
        </w:tc>
        <w:tc>
          <w:tcPr>
            <w:tcW w:w="1200" w:type="pct"/>
            <w:vAlign w:val="center"/>
            <w:hideMark/>
          </w:tcPr>
          <w:p w:rsidR="00540DE8" w:rsidRPr="00540DE8" w:rsidRDefault="00540DE8" w:rsidP="00540DE8"/>
        </w:tc>
        <w:tc>
          <w:tcPr>
            <w:tcW w:w="1450" w:type="pct"/>
            <w:vAlign w:val="center"/>
            <w:hideMark/>
          </w:tcPr>
          <w:p w:rsidR="00540DE8" w:rsidRPr="00540DE8" w:rsidRDefault="00540DE8" w:rsidP="00540DE8"/>
        </w:tc>
      </w:tr>
    </w:tbl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Приложение 3          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Правилам хранения, транспортировки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и использования профилактических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(иммунобиологических, диагностических,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дезинфицирующих) препаратов   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              Температурные условия хранения медицинских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                иммунобиологических препаратов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6"/>
        <w:gridCol w:w="2336"/>
        <w:gridCol w:w="2038"/>
      </w:tblGrid>
      <w:tr w:rsidR="00540DE8" w:rsidRPr="00540DE8" w:rsidTr="00540DE8">
        <w:trPr>
          <w:trHeight w:val="1455"/>
          <w:tblCellSpacing w:w="15" w:type="dxa"/>
        </w:trPr>
        <w:tc>
          <w:tcPr>
            <w:tcW w:w="290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Наименование препаратов</w:t>
            </w:r>
          </w:p>
        </w:tc>
        <w:tc>
          <w:tcPr>
            <w:tcW w:w="110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 xml:space="preserve">Хранение при температуре </w:t>
            </w:r>
            <w:proofErr w:type="gramStart"/>
            <w:r w:rsidRPr="00540DE8">
              <w:rPr>
                <w:sz w:val="20"/>
                <w:szCs w:val="20"/>
              </w:rPr>
              <w:t>от</w:t>
            </w:r>
            <w:proofErr w:type="gramEnd"/>
            <w:r w:rsidRPr="00540DE8">
              <w:rPr>
                <w:sz w:val="20"/>
                <w:szCs w:val="20"/>
              </w:rPr>
              <w:t xml:space="preserve"> плюс 2</w:t>
            </w:r>
            <w:r w:rsidRPr="00540DE8">
              <w:rPr>
                <w:vertAlign w:val="superscript"/>
              </w:rPr>
              <w:t>0</w:t>
            </w:r>
            <w:r w:rsidRPr="00540DE8">
              <w:rPr>
                <w:sz w:val="20"/>
                <w:szCs w:val="20"/>
              </w:rPr>
              <w:t>С до плюс 8</w:t>
            </w:r>
            <w:r w:rsidRPr="00540DE8">
              <w:rPr>
                <w:vertAlign w:val="superscript"/>
              </w:rPr>
              <w:t>0</w:t>
            </w:r>
            <w:r w:rsidRPr="00540DE8">
              <w:rPr>
                <w:sz w:val="20"/>
                <w:szCs w:val="20"/>
              </w:rPr>
              <w:t>С, место в холодильнике</w:t>
            </w:r>
          </w:p>
        </w:tc>
        <w:tc>
          <w:tcPr>
            <w:tcW w:w="95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 xml:space="preserve">Хранение при температуре </w:t>
            </w:r>
            <w:proofErr w:type="gramStart"/>
            <w:r w:rsidRPr="00540DE8">
              <w:rPr>
                <w:sz w:val="20"/>
                <w:szCs w:val="20"/>
              </w:rPr>
              <w:t>от</w:t>
            </w:r>
            <w:proofErr w:type="gramEnd"/>
            <w:r w:rsidRPr="00540DE8">
              <w:rPr>
                <w:sz w:val="20"/>
                <w:szCs w:val="20"/>
              </w:rPr>
              <w:t xml:space="preserve"> минус 15</w:t>
            </w:r>
            <w:r w:rsidRPr="00540DE8">
              <w:rPr>
                <w:vertAlign w:val="superscript"/>
              </w:rPr>
              <w:t>0</w:t>
            </w:r>
            <w:r w:rsidRPr="00540DE8">
              <w:rPr>
                <w:sz w:val="20"/>
                <w:szCs w:val="20"/>
              </w:rPr>
              <w:t>С до минус 25</w:t>
            </w:r>
            <w:r w:rsidRPr="00540DE8">
              <w:rPr>
                <w:vertAlign w:val="superscript"/>
              </w:rPr>
              <w:t>0</w:t>
            </w:r>
            <w:r w:rsidRPr="00540DE8">
              <w:rPr>
                <w:sz w:val="20"/>
                <w:szCs w:val="20"/>
              </w:rPr>
              <w:t>С</w:t>
            </w:r>
          </w:p>
        </w:tc>
      </w:tr>
      <w:tr w:rsidR="00540DE8" w:rsidRPr="00540DE8" w:rsidTr="00540DE8">
        <w:trPr>
          <w:trHeight w:val="15"/>
          <w:tblCellSpacing w:w="15" w:type="dxa"/>
        </w:trPr>
        <w:tc>
          <w:tcPr>
            <w:tcW w:w="290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 w:line="15" w:lineRule="atLeast"/>
            </w:pPr>
            <w:r w:rsidRPr="00540DE8">
              <w:rPr>
                <w:sz w:val="20"/>
                <w:szCs w:val="20"/>
              </w:rPr>
              <w:t>Вакцина против полиомиелита</w:t>
            </w:r>
          </w:p>
        </w:tc>
        <w:tc>
          <w:tcPr>
            <w:tcW w:w="110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 w:line="15" w:lineRule="atLeast"/>
              <w:jc w:val="center"/>
            </w:pPr>
            <w:r w:rsidRPr="00540DE8">
              <w:rPr>
                <w:sz w:val="20"/>
                <w:szCs w:val="20"/>
              </w:rPr>
              <w:t>допускается</w:t>
            </w:r>
          </w:p>
        </w:tc>
        <w:tc>
          <w:tcPr>
            <w:tcW w:w="95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 w:line="15" w:lineRule="atLeast"/>
              <w:jc w:val="center"/>
            </w:pPr>
            <w:r w:rsidRPr="00540DE8">
              <w:rPr>
                <w:sz w:val="20"/>
                <w:szCs w:val="20"/>
              </w:rPr>
              <w:t>допускается</w:t>
            </w:r>
          </w:p>
        </w:tc>
      </w:tr>
      <w:tr w:rsidR="00540DE8" w:rsidRPr="00540DE8" w:rsidTr="00540DE8">
        <w:trPr>
          <w:trHeight w:val="540"/>
          <w:tblCellSpacing w:w="15" w:type="dxa"/>
        </w:trPr>
        <w:tc>
          <w:tcPr>
            <w:tcW w:w="290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</w:pPr>
            <w:r w:rsidRPr="00540DE8">
              <w:rPr>
                <w:sz w:val="20"/>
                <w:szCs w:val="20"/>
              </w:rPr>
              <w:t xml:space="preserve">Вакцина против туберкулеза, коревая вакцина, </w:t>
            </w:r>
            <w:proofErr w:type="spellStart"/>
            <w:r w:rsidRPr="00540DE8">
              <w:rPr>
                <w:sz w:val="20"/>
                <w:szCs w:val="20"/>
              </w:rPr>
              <w:t>паротитная</w:t>
            </w:r>
            <w:proofErr w:type="spellEnd"/>
            <w:r w:rsidRPr="00540DE8">
              <w:rPr>
                <w:sz w:val="20"/>
                <w:szCs w:val="20"/>
              </w:rPr>
              <w:t xml:space="preserve"> вакцина, краснушная вакцина, вакцина против кори, краснухи и паротита, вакцина против кори, краснухи</w:t>
            </w:r>
          </w:p>
        </w:tc>
        <w:tc>
          <w:tcPr>
            <w:tcW w:w="110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допускается</w:t>
            </w:r>
          </w:p>
        </w:tc>
        <w:tc>
          <w:tcPr>
            <w:tcW w:w="95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не допускается</w:t>
            </w:r>
          </w:p>
        </w:tc>
      </w:tr>
      <w:tr w:rsidR="00540DE8" w:rsidRPr="00540DE8" w:rsidTr="00540DE8">
        <w:trPr>
          <w:trHeight w:val="3405"/>
          <w:tblCellSpacing w:w="15" w:type="dxa"/>
        </w:trPr>
        <w:tc>
          <w:tcPr>
            <w:tcW w:w="290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</w:pPr>
            <w:proofErr w:type="gramStart"/>
            <w:r w:rsidRPr="00540DE8">
              <w:rPr>
                <w:sz w:val="20"/>
                <w:szCs w:val="20"/>
              </w:rPr>
              <w:t xml:space="preserve">Адсорбированная </w:t>
            </w:r>
            <w:proofErr w:type="spellStart"/>
            <w:r w:rsidRPr="00540DE8">
              <w:rPr>
                <w:sz w:val="20"/>
                <w:szCs w:val="20"/>
              </w:rPr>
              <w:t>коклюшно-дифтерийно-столбнячная</w:t>
            </w:r>
            <w:proofErr w:type="spellEnd"/>
            <w:r w:rsidRPr="00540DE8">
              <w:rPr>
                <w:sz w:val="20"/>
                <w:szCs w:val="20"/>
              </w:rPr>
              <w:t xml:space="preserve"> вакцина с </w:t>
            </w:r>
            <w:proofErr w:type="spellStart"/>
            <w:r w:rsidRPr="00540DE8">
              <w:rPr>
                <w:sz w:val="20"/>
                <w:szCs w:val="20"/>
              </w:rPr>
              <w:t>цельноклеточным</w:t>
            </w:r>
            <w:proofErr w:type="spellEnd"/>
            <w:r w:rsidRPr="00540DE8">
              <w:rPr>
                <w:sz w:val="20"/>
                <w:szCs w:val="20"/>
              </w:rPr>
              <w:t xml:space="preserve"> и </w:t>
            </w:r>
            <w:proofErr w:type="spellStart"/>
            <w:r w:rsidRPr="00540DE8">
              <w:rPr>
                <w:sz w:val="20"/>
                <w:szCs w:val="20"/>
              </w:rPr>
              <w:t>бесклеточным</w:t>
            </w:r>
            <w:proofErr w:type="spellEnd"/>
            <w:r w:rsidRPr="00540DE8">
              <w:rPr>
                <w:sz w:val="20"/>
                <w:szCs w:val="20"/>
              </w:rPr>
              <w:t xml:space="preserve"> коклюшным компонентом, дифтерийно-столбнячный анатоксин с уменьшенным содержанием антигенов, столбнячный анатоксин, вакцина против брюшного тифа, вакцина против </w:t>
            </w:r>
            <w:proofErr w:type="spellStart"/>
            <w:r w:rsidRPr="00540DE8">
              <w:rPr>
                <w:sz w:val="20"/>
                <w:szCs w:val="20"/>
              </w:rPr>
              <w:t>гемофильной</w:t>
            </w:r>
            <w:proofErr w:type="spellEnd"/>
            <w:r w:rsidRPr="00540DE8">
              <w:rPr>
                <w:sz w:val="20"/>
                <w:szCs w:val="20"/>
              </w:rPr>
              <w:t xml:space="preserve"> инфекции типа «В», вакцина против гепатита «А», вакцина против гепатита «В», вакцина против пневмококковой инфекции, вакцина и иммуноглобулин против клещевого энцефалита, антирабическая вакцина и иммуноглобулин, вакцина против чумы, туберкулин, противодифтерийная сыворотка, бактериофаги, комбинированные указанные вакцины</w:t>
            </w:r>
            <w:proofErr w:type="gramEnd"/>
          </w:p>
        </w:tc>
        <w:tc>
          <w:tcPr>
            <w:tcW w:w="110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допускается</w:t>
            </w:r>
          </w:p>
        </w:tc>
        <w:tc>
          <w:tcPr>
            <w:tcW w:w="950" w:type="pc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не допускается</w:t>
            </w:r>
          </w:p>
        </w:tc>
      </w:tr>
    </w:tbl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Приложение 4          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Правилам хранения, транспортировки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и использования профилактических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(иммунобиологических, диагностических,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дезинфицирующих) препаратов   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Форма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                              Акт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 приема партии медицинских иммунобиологических препаратов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Адресат отправления 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Запланированные остановки в ходе транспортирования___________________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Дата отправки (согласно данным авиа/железнодорожных накладных)_______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Дата и время прибытия груза в пункт назначения_______________________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Наименование препарата 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Организация, изготовитель 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Количество упаковок или флаконов (ампул) 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Количество доз (литров, таблеток)____________________________________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Номер серии, контрольный номер 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Срок годности МИБП 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Количество флаконов (ампул) растворителя_____________________________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Номер серии, контрольный номер_______________________________________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Срок годности растворителя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>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Показания </w:t>
      </w:r>
      <w:proofErr w:type="spellStart"/>
      <w:r w:rsidRPr="00540DE8">
        <w:rPr>
          <w:rFonts w:ascii="Arial" w:hAnsi="Arial" w:cs="Arial"/>
          <w:color w:val="000000"/>
          <w:sz w:val="21"/>
          <w:szCs w:val="21"/>
        </w:rPr>
        <w:t>термоиндикаторов</w:t>
      </w:r>
      <w:proofErr w:type="spellEnd"/>
      <w:r w:rsidRPr="00540DE8">
        <w:rPr>
          <w:rFonts w:ascii="Arial" w:hAnsi="Arial" w:cs="Arial"/>
          <w:color w:val="000000"/>
          <w:sz w:val="21"/>
          <w:szCs w:val="21"/>
        </w:rPr>
        <w:t xml:space="preserve"> (количество, показание каждого из них с</w:t>
      </w:r>
      <w:r w:rsidRPr="00540DE8">
        <w:rPr>
          <w:rFonts w:ascii="Arial" w:hAnsi="Arial" w:cs="Arial"/>
          <w:color w:val="000000"/>
          <w:sz w:val="21"/>
          <w:szCs w:val="21"/>
        </w:rPr>
        <w:br/>
        <w:t>указанием мест размещения)___________________________________________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Состояние груза______________________________________________________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Общее число контейнеров 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Наличие маркировки 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Состояние упаковок на момент доставки________________________________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(нарушение целостности, наличие повреждения, деформации, следов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             влаги, стертость записей)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Фамилия, имя, отчество (при его наличии),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должность и подпись отправителя груза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 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Фамилия, имя, отчество (при его наличии),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должность и подпись получателя груза</w:t>
      </w:r>
      <w:r w:rsidRPr="00540DE8">
        <w:rPr>
          <w:rFonts w:ascii="Arial" w:hAnsi="Arial" w:cs="Arial"/>
          <w:color w:val="000000"/>
          <w:sz w:val="21"/>
          <w:szCs w:val="21"/>
        </w:rPr>
        <w:br/>
        <w:t>___________________________________________ ____________________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             Дата подписания акта «____»___________ 20___ года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Приложение 5          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Правилам хранения, транспортировки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и использования профилактических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(иммунобиологических, диагностических,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дезинфицирующих) препаратов   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Форма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                               Журнал учета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              медицинских иммунобиологических препаратов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1770"/>
        <w:gridCol w:w="1346"/>
        <w:gridCol w:w="1466"/>
        <w:gridCol w:w="1683"/>
        <w:gridCol w:w="1305"/>
        <w:gridCol w:w="1335"/>
        <w:gridCol w:w="1264"/>
      </w:tblGrid>
      <w:tr w:rsidR="00540DE8" w:rsidRPr="00540DE8" w:rsidTr="00540DE8">
        <w:trPr>
          <w:trHeight w:val="300"/>
          <w:tblCellSpacing w:w="15" w:type="dxa"/>
        </w:trPr>
        <w:tc>
          <w:tcPr>
            <w:tcW w:w="375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№</w:t>
            </w:r>
          </w:p>
        </w:tc>
        <w:tc>
          <w:tcPr>
            <w:tcW w:w="237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Наименование препарата</w:t>
            </w:r>
          </w:p>
        </w:tc>
        <w:tc>
          <w:tcPr>
            <w:tcW w:w="159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213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Откуда поступило</w:t>
            </w:r>
          </w:p>
        </w:tc>
        <w:tc>
          <w:tcPr>
            <w:tcW w:w="2145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Страна производитель</w:t>
            </w:r>
          </w:p>
        </w:tc>
        <w:tc>
          <w:tcPr>
            <w:tcW w:w="156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Полученное количество</w:t>
            </w:r>
          </w:p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Количество доз в ампуле (флаконе)</w:t>
            </w:r>
          </w:p>
        </w:tc>
        <w:tc>
          <w:tcPr>
            <w:tcW w:w="1785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Срок годности</w:t>
            </w:r>
          </w:p>
        </w:tc>
      </w:tr>
      <w:tr w:rsidR="00540DE8" w:rsidRPr="00540DE8" w:rsidTr="00540DE8">
        <w:trPr>
          <w:trHeight w:val="465"/>
          <w:tblCellSpacing w:w="15" w:type="dxa"/>
        </w:trPr>
        <w:tc>
          <w:tcPr>
            <w:tcW w:w="375" w:type="dxa"/>
            <w:vAlign w:val="center"/>
            <w:hideMark/>
          </w:tcPr>
          <w:p w:rsidR="00540DE8" w:rsidRPr="00540DE8" w:rsidRDefault="00540DE8" w:rsidP="00540DE8"/>
        </w:tc>
        <w:tc>
          <w:tcPr>
            <w:tcW w:w="237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590" w:type="dxa"/>
            <w:vAlign w:val="center"/>
            <w:hideMark/>
          </w:tcPr>
          <w:p w:rsidR="00540DE8" w:rsidRPr="00540DE8" w:rsidRDefault="00540DE8" w:rsidP="00540DE8"/>
        </w:tc>
        <w:tc>
          <w:tcPr>
            <w:tcW w:w="2130" w:type="dxa"/>
            <w:vAlign w:val="center"/>
            <w:hideMark/>
          </w:tcPr>
          <w:p w:rsidR="00540DE8" w:rsidRPr="00540DE8" w:rsidRDefault="00540DE8" w:rsidP="00540DE8"/>
        </w:tc>
        <w:tc>
          <w:tcPr>
            <w:tcW w:w="2145" w:type="dxa"/>
            <w:vAlign w:val="center"/>
            <w:hideMark/>
          </w:tcPr>
          <w:p w:rsidR="00540DE8" w:rsidRPr="00540DE8" w:rsidRDefault="00540DE8" w:rsidP="00540DE8"/>
        </w:tc>
        <w:tc>
          <w:tcPr>
            <w:tcW w:w="156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785" w:type="dxa"/>
            <w:vAlign w:val="center"/>
            <w:hideMark/>
          </w:tcPr>
          <w:p w:rsidR="00540DE8" w:rsidRPr="00540DE8" w:rsidRDefault="00540DE8" w:rsidP="00540DE8"/>
        </w:tc>
      </w:tr>
    </w:tbl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(продолжение таблицы)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1681"/>
        <w:gridCol w:w="1062"/>
        <w:gridCol w:w="1184"/>
        <w:gridCol w:w="1516"/>
        <w:gridCol w:w="1200"/>
        <w:gridCol w:w="918"/>
        <w:gridCol w:w="880"/>
        <w:gridCol w:w="1106"/>
      </w:tblGrid>
      <w:tr w:rsidR="00540DE8" w:rsidRPr="00540DE8" w:rsidTr="00540DE8">
        <w:trPr>
          <w:trHeight w:val="255"/>
          <w:tblCellSpacing w:w="15" w:type="dxa"/>
        </w:trPr>
        <w:tc>
          <w:tcPr>
            <w:tcW w:w="1395" w:type="dxa"/>
            <w:vMerge w:val="restar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Номер серии</w:t>
            </w:r>
          </w:p>
        </w:tc>
        <w:tc>
          <w:tcPr>
            <w:tcW w:w="1950" w:type="dxa"/>
            <w:vMerge w:val="restar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5" w:type="dxa"/>
            <w:vMerge w:val="restar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Кому выдано</w:t>
            </w:r>
          </w:p>
        </w:tc>
        <w:tc>
          <w:tcPr>
            <w:tcW w:w="1500" w:type="dxa"/>
            <w:vMerge w:val="restar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 xml:space="preserve">Дата </w:t>
            </w:r>
            <w:proofErr w:type="spellStart"/>
            <w:r w:rsidRPr="00540DE8">
              <w:rPr>
                <w:sz w:val="20"/>
                <w:szCs w:val="20"/>
              </w:rPr>
              <w:t>выдачи,№</w:t>
            </w:r>
            <w:proofErr w:type="spellEnd"/>
            <w:r w:rsidRPr="00540DE8">
              <w:rPr>
                <w:sz w:val="20"/>
                <w:szCs w:val="20"/>
              </w:rPr>
              <w:t xml:space="preserve"> накладной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№ доверенности, дата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Выданное количество</w:t>
            </w:r>
          </w:p>
        </w:tc>
        <w:tc>
          <w:tcPr>
            <w:tcW w:w="4035" w:type="dxa"/>
            <w:gridSpan w:val="3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Баланс</w:t>
            </w:r>
          </w:p>
        </w:tc>
      </w:tr>
      <w:tr w:rsidR="00540DE8" w:rsidRPr="00540DE8" w:rsidTr="00540DE8">
        <w:trPr>
          <w:trHeight w:val="112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DE8" w:rsidRPr="00540DE8" w:rsidRDefault="00540DE8" w:rsidP="00540DE8"/>
        </w:tc>
        <w:tc>
          <w:tcPr>
            <w:tcW w:w="0" w:type="auto"/>
            <w:vMerge/>
            <w:vAlign w:val="center"/>
            <w:hideMark/>
          </w:tcPr>
          <w:p w:rsidR="00540DE8" w:rsidRPr="00540DE8" w:rsidRDefault="00540DE8" w:rsidP="00540DE8"/>
        </w:tc>
        <w:tc>
          <w:tcPr>
            <w:tcW w:w="0" w:type="auto"/>
            <w:vMerge/>
            <w:vAlign w:val="center"/>
            <w:hideMark/>
          </w:tcPr>
          <w:p w:rsidR="00540DE8" w:rsidRPr="00540DE8" w:rsidRDefault="00540DE8" w:rsidP="00540DE8"/>
        </w:tc>
        <w:tc>
          <w:tcPr>
            <w:tcW w:w="0" w:type="auto"/>
            <w:vMerge/>
            <w:vAlign w:val="center"/>
            <w:hideMark/>
          </w:tcPr>
          <w:p w:rsidR="00540DE8" w:rsidRPr="00540DE8" w:rsidRDefault="00540DE8" w:rsidP="00540DE8"/>
        </w:tc>
        <w:tc>
          <w:tcPr>
            <w:tcW w:w="0" w:type="auto"/>
            <w:vMerge/>
            <w:vAlign w:val="center"/>
            <w:hideMark/>
          </w:tcPr>
          <w:p w:rsidR="00540DE8" w:rsidRPr="00540DE8" w:rsidRDefault="00540DE8" w:rsidP="00540DE8"/>
        </w:tc>
        <w:tc>
          <w:tcPr>
            <w:tcW w:w="0" w:type="auto"/>
            <w:vMerge/>
            <w:vAlign w:val="center"/>
            <w:hideMark/>
          </w:tcPr>
          <w:p w:rsidR="00540DE8" w:rsidRPr="00540DE8" w:rsidRDefault="00540DE8" w:rsidP="00540DE8"/>
        </w:tc>
        <w:tc>
          <w:tcPr>
            <w:tcW w:w="120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Приход</w:t>
            </w:r>
          </w:p>
        </w:tc>
        <w:tc>
          <w:tcPr>
            <w:tcW w:w="120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Расход</w:t>
            </w:r>
          </w:p>
        </w:tc>
        <w:tc>
          <w:tcPr>
            <w:tcW w:w="1395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Остаток</w:t>
            </w:r>
          </w:p>
        </w:tc>
      </w:tr>
      <w:tr w:rsidR="00540DE8" w:rsidRPr="00540DE8" w:rsidTr="00540DE8">
        <w:trPr>
          <w:trHeight w:val="465"/>
          <w:tblCellSpacing w:w="15" w:type="dxa"/>
        </w:trPr>
        <w:tc>
          <w:tcPr>
            <w:tcW w:w="1395" w:type="dxa"/>
            <w:vAlign w:val="center"/>
            <w:hideMark/>
          </w:tcPr>
          <w:p w:rsidR="00540DE8" w:rsidRPr="00540DE8" w:rsidRDefault="00540DE8" w:rsidP="00540DE8"/>
        </w:tc>
        <w:tc>
          <w:tcPr>
            <w:tcW w:w="195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605" w:type="dxa"/>
            <w:vAlign w:val="center"/>
            <w:hideMark/>
          </w:tcPr>
          <w:p w:rsidR="00540DE8" w:rsidRPr="00540DE8" w:rsidRDefault="00540DE8" w:rsidP="00540DE8"/>
        </w:tc>
        <w:tc>
          <w:tcPr>
            <w:tcW w:w="150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845" w:type="dxa"/>
            <w:vAlign w:val="center"/>
            <w:hideMark/>
          </w:tcPr>
          <w:p w:rsidR="00540DE8" w:rsidRPr="00540DE8" w:rsidRDefault="00540DE8" w:rsidP="00540DE8"/>
        </w:tc>
        <w:tc>
          <w:tcPr>
            <w:tcW w:w="144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20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20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395" w:type="dxa"/>
            <w:vAlign w:val="center"/>
            <w:hideMark/>
          </w:tcPr>
          <w:p w:rsidR="00540DE8" w:rsidRPr="00540DE8" w:rsidRDefault="00540DE8" w:rsidP="00540DE8"/>
        </w:tc>
      </w:tr>
    </w:tbl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Приложение 6          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Правилам хранения, транспортировки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и использования профилактических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(иммунобиологических, диагностических,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дезинфицирующих) препаратов   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Форма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                                 Журнал учета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                            диагностических препаратов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  <w:gridCol w:w="1303"/>
        <w:gridCol w:w="1140"/>
        <w:gridCol w:w="1303"/>
        <w:gridCol w:w="1318"/>
        <w:gridCol w:w="1126"/>
        <w:gridCol w:w="1092"/>
        <w:gridCol w:w="1056"/>
        <w:gridCol w:w="831"/>
        <w:gridCol w:w="1201"/>
      </w:tblGrid>
      <w:tr w:rsidR="00540DE8" w:rsidRPr="00540DE8" w:rsidTr="00540DE8">
        <w:trPr>
          <w:tblCellSpacing w:w="15" w:type="dxa"/>
        </w:trPr>
        <w:tc>
          <w:tcPr>
            <w:tcW w:w="27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№</w:t>
            </w:r>
          </w:p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Наименование препарата</w:t>
            </w:r>
          </w:p>
        </w:tc>
        <w:tc>
          <w:tcPr>
            <w:tcW w:w="144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Страна производитель</w:t>
            </w:r>
          </w:p>
        </w:tc>
        <w:tc>
          <w:tcPr>
            <w:tcW w:w="144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№ сертификата качества</w:t>
            </w:r>
          </w:p>
        </w:tc>
        <w:tc>
          <w:tcPr>
            <w:tcW w:w="144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Полученное количество</w:t>
            </w:r>
          </w:p>
        </w:tc>
        <w:tc>
          <w:tcPr>
            <w:tcW w:w="132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Количество упаковок</w:t>
            </w:r>
          </w:p>
        </w:tc>
        <w:tc>
          <w:tcPr>
            <w:tcW w:w="108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156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Номер серии, контрольный номер</w:t>
            </w:r>
          </w:p>
        </w:tc>
      </w:tr>
      <w:tr w:rsidR="00540DE8" w:rsidRPr="00540DE8" w:rsidTr="00540DE8">
        <w:trPr>
          <w:tblCellSpacing w:w="15" w:type="dxa"/>
        </w:trPr>
        <w:tc>
          <w:tcPr>
            <w:tcW w:w="27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44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44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44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32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08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560" w:type="dxa"/>
            <w:vAlign w:val="center"/>
            <w:hideMark/>
          </w:tcPr>
          <w:p w:rsidR="00540DE8" w:rsidRPr="00540DE8" w:rsidRDefault="00540DE8" w:rsidP="00540DE8"/>
        </w:tc>
      </w:tr>
    </w:tbl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Приложение 7          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Правилам хранения, транспортировки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и использования профилактических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(иммунобиологических, диагностических,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дезинфицирующих) препаратов   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Форма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                 Журнал учета дезинфицирующих препаратов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"/>
        <w:gridCol w:w="1438"/>
        <w:gridCol w:w="1250"/>
        <w:gridCol w:w="1201"/>
        <w:gridCol w:w="1295"/>
        <w:gridCol w:w="1040"/>
        <w:gridCol w:w="1168"/>
        <w:gridCol w:w="901"/>
        <w:gridCol w:w="1046"/>
        <w:gridCol w:w="869"/>
      </w:tblGrid>
      <w:tr w:rsidR="00540DE8" w:rsidRPr="00540DE8" w:rsidTr="00540DE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№</w:t>
            </w:r>
          </w:p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Наименование препарата</w:t>
            </w:r>
          </w:p>
        </w:tc>
        <w:tc>
          <w:tcPr>
            <w:tcW w:w="144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Откуда поступило</w:t>
            </w:r>
          </w:p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Полученное количество</w:t>
            </w:r>
          </w:p>
        </w:tc>
        <w:tc>
          <w:tcPr>
            <w:tcW w:w="144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Срок годности</w:t>
            </w:r>
          </w:p>
        </w:tc>
        <w:tc>
          <w:tcPr>
            <w:tcW w:w="144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Выданное количество</w:t>
            </w:r>
          </w:p>
        </w:tc>
        <w:tc>
          <w:tcPr>
            <w:tcW w:w="132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Кому выдано</w:t>
            </w:r>
          </w:p>
        </w:tc>
        <w:tc>
          <w:tcPr>
            <w:tcW w:w="120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№ накладной дата</w:t>
            </w:r>
          </w:p>
        </w:tc>
        <w:tc>
          <w:tcPr>
            <w:tcW w:w="1035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Остаток</w:t>
            </w:r>
          </w:p>
        </w:tc>
      </w:tr>
      <w:tr w:rsidR="00540DE8" w:rsidRPr="00540DE8" w:rsidTr="00540DE8">
        <w:trPr>
          <w:tblCellSpacing w:w="15" w:type="dxa"/>
        </w:trPr>
        <w:tc>
          <w:tcPr>
            <w:tcW w:w="30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44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44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44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32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20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035" w:type="dxa"/>
            <w:vAlign w:val="center"/>
            <w:hideMark/>
          </w:tcPr>
          <w:p w:rsidR="00540DE8" w:rsidRPr="00540DE8" w:rsidRDefault="00540DE8" w:rsidP="00540DE8"/>
        </w:tc>
      </w:tr>
    </w:tbl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Приложение 8          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Правилам хранения, транспортировки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 xml:space="preserve">и использования </w:t>
      </w:r>
      <w:proofErr w:type="gramStart"/>
      <w:r w:rsidRPr="00540DE8">
        <w:rPr>
          <w:rFonts w:ascii="Arial" w:hAnsi="Arial" w:cs="Arial"/>
          <w:color w:val="000000"/>
          <w:sz w:val="21"/>
          <w:szCs w:val="21"/>
        </w:rPr>
        <w:t>профилактических</w:t>
      </w:r>
      <w:proofErr w:type="gramEnd"/>
      <w:r w:rsidRPr="00540DE8">
        <w:rPr>
          <w:rFonts w:ascii="Arial" w:hAnsi="Arial" w:cs="Arial"/>
          <w:color w:val="000000"/>
          <w:sz w:val="21"/>
          <w:szCs w:val="21"/>
        </w:rPr>
        <w:t>   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(иммунобиологических, диагностических,</w:t>
      </w:r>
      <w:r w:rsidRPr="00540DE8">
        <w:rPr>
          <w:rFonts w:ascii="Arial" w:hAnsi="Arial" w:cs="Arial"/>
          <w:color w:val="000000"/>
          <w:sz w:val="21"/>
        </w:rPr>
        <w:t> </w:t>
      </w:r>
      <w:r w:rsidRPr="00540DE8">
        <w:rPr>
          <w:rFonts w:ascii="Arial" w:hAnsi="Arial" w:cs="Arial"/>
          <w:color w:val="000000"/>
          <w:sz w:val="21"/>
          <w:szCs w:val="21"/>
        </w:rPr>
        <w:br/>
        <w:t>дезинфицирующих) препаратов   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Форма</w:t>
      </w:r>
    </w:p>
    <w:p w:rsidR="00540DE8" w:rsidRPr="00540DE8" w:rsidRDefault="00540DE8" w:rsidP="00540DE8">
      <w:pPr>
        <w:spacing w:before="100" w:beforeAutospacing="1" w:after="100" w:afterAutospacing="1" w:line="345" w:lineRule="atLeast"/>
        <w:rPr>
          <w:rFonts w:ascii="Arial" w:hAnsi="Arial" w:cs="Arial"/>
          <w:color w:val="000000"/>
          <w:sz w:val="21"/>
          <w:szCs w:val="21"/>
        </w:rPr>
      </w:pPr>
      <w:r w:rsidRPr="00540DE8">
        <w:rPr>
          <w:rFonts w:ascii="Arial" w:hAnsi="Arial" w:cs="Arial"/>
          <w:color w:val="000000"/>
          <w:sz w:val="21"/>
          <w:szCs w:val="21"/>
        </w:rPr>
        <w:t>          Журнал учета использования дезинфицирующих препаратов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"/>
        <w:gridCol w:w="1371"/>
        <w:gridCol w:w="788"/>
        <w:gridCol w:w="984"/>
        <w:gridCol w:w="1391"/>
        <w:gridCol w:w="988"/>
        <w:gridCol w:w="988"/>
        <w:gridCol w:w="1001"/>
        <w:gridCol w:w="1355"/>
        <w:gridCol w:w="1348"/>
      </w:tblGrid>
      <w:tr w:rsidR="00540DE8" w:rsidRPr="00540DE8" w:rsidTr="00540DE8">
        <w:trPr>
          <w:tblCellSpacing w:w="15" w:type="dxa"/>
        </w:trPr>
        <w:tc>
          <w:tcPr>
            <w:tcW w:w="36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№</w:t>
            </w:r>
          </w:p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Наименование препарата</w:t>
            </w:r>
          </w:p>
        </w:tc>
        <w:tc>
          <w:tcPr>
            <w:tcW w:w="108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Норма расхода</w:t>
            </w:r>
          </w:p>
        </w:tc>
        <w:tc>
          <w:tcPr>
            <w:tcW w:w="132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Объем препарата</w:t>
            </w:r>
          </w:p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Дата приготовления раствора</w:t>
            </w:r>
          </w:p>
        </w:tc>
        <w:tc>
          <w:tcPr>
            <w:tcW w:w="120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Место обработки</w:t>
            </w:r>
          </w:p>
        </w:tc>
        <w:tc>
          <w:tcPr>
            <w:tcW w:w="120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Площадь обработки</w:t>
            </w:r>
          </w:p>
        </w:tc>
        <w:tc>
          <w:tcPr>
            <w:tcW w:w="132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Кем проведена обработка</w:t>
            </w:r>
          </w:p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 xml:space="preserve">Подпись </w:t>
            </w:r>
            <w:proofErr w:type="gramStart"/>
            <w:r w:rsidRPr="00540DE8">
              <w:rPr>
                <w:sz w:val="20"/>
                <w:szCs w:val="20"/>
              </w:rPr>
              <w:t>проводившего</w:t>
            </w:r>
            <w:proofErr w:type="gramEnd"/>
            <w:r w:rsidRPr="00540DE8">
              <w:rPr>
                <w:sz w:val="20"/>
                <w:szCs w:val="20"/>
              </w:rPr>
              <w:t xml:space="preserve"> обработку</w:t>
            </w:r>
          </w:p>
        </w:tc>
        <w:tc>
          <w:tcPr>
            <w:tcW w:w="1875" w:type="dxa"/>
            <w:vAlign w:val="center"/>
            <w:hideMark/>
          </w:tcPr>
          <w:p w:rsidR="00540DE8" w:rsidRPr="00540DE8" w:rsidRDefault="00540DE8" w:rsidP="00540DE8">
            <w:pPr>
              <w:spacing w:before="100" w:beforeAutospacing="1" w:after="100" w:afterAutospacing="1"/>
              <w:jc w:val="center"/>
            </w:pPr>
            <w:r w:rsidRPr="00540DE8">
              <w:rPr>
                <w:sz w:val="20"/>
                <w:szCs w:val="20"/>
              </w:rPr>
              <w:t>Подпись руководителя</w:t>
            </w:r>
          </w:p>
        </w:tc>
      </w:tr>
      <w:tr w:rsidR="00540DE8" w:rsidRPr="00540DE8" w:rsidTr="00540DE8">
        <w:trPr>
          <w:tblCellSpacing w:w="15" w:type="dxa"/>
        </w:trPr>
        <w:tc>
          <w:tcPr>
            <w:tcW w:w="36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08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32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20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20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32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680" w:type="dxa"/>
            <w:vAlign w:val="center"/>
            <w:hideMark/>
          </w:tcPr>
          <w:p w:rsidR="00540DE8" w:rsidRPr="00540DE8" w:rsidRDefault="00540DE8" w:rsidP="00540DE8"/>
        </w:tc>
        <w:tc>
          <w:tcPr>
            <w:tcW w:w="1875" w:type="dxa"/>
            <w:vAlign w:val="center"/>
            <w:hideMark/>
          </w:tcPr>
          <w:p w:rsidR="00540DE8" w:rsidRPr="00540DE8" w:rsidRDefault="00540DE8" w:rsidP="00540DE8"/>
        </w:tc>
      </w:tr>
    </w:tbl>
    <w:p w:rsidR="006D2834" w:rsidRDefault="006D2834"/>
    <w:sectPr w:rsidR="006D2834" w:rsidSect="00540DE8">
      <w:pgSz w:w="11906" w:h="16838"/>
      <w:pgMar w:top="1134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40DE8"/>
    <w:rsid w:val="00540DE8"/>
    <w:rsid w:val="006D2834"/>
    <w:rsid w:val="009D0E61"/>
    <w:rsid w:val="00AE49E2"/>
    <w:rsid w:val="00C1015C"/>
    <w:rsid w:val="00C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5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40D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40DE8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540DE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40D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grinews.kz/zakon/docs?ngr=V1500010411" TargetMode="External"/><Relationship Id="rId13" Type="http://schemas.openxmlformats.org/officeDocument/2006/relationships/hyperlink" Target="http://tengrinews.kz/zakon/docs?ngr=K090000193_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ngrinews.kz/zakon/docs?ngr=V1500010411" TargetMode="External"/><Relationship Id="rId12" Type="http://schemas.openxmlformats.org/officeDocument/2006/relationships/hyperlink" Target="http://tengrinews.kz/zakon/docs?ngr=K090000193_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engrinews.kz/zakon/docs?ngr=V1500010411" TargetMode="External"/><Relationship Id="rId1" Type="http://schemas.openxmlformats.org/officeDocument/2006/relationships/styles" Target="styles.xml"/><Relationship Id="rId6" Type="http://schemas.openxmlformats.org/officeDocument/2006/relationships/hyperlink" Target="http://tengrinews.kz/zakon/docs?ngr=K090000193_" TargetMode="External"/><Relationship Id="rId11" Type="http://schemas.openxmlformats.org/officeDocument/2006/relationships/hyperlink" Target="http://tengrinews.kz/zakon/docs?ngr=V1500010411" TargetMode="External"/><Relationship Id="rId5" Type="http://schemas.openxmlformats.org/officeDocument/2006/relationships/hyperlink" Target="http://tengrinews.kz/zakon/docs?ngr=V1500010411" TargetMode="External"/><Relationship Id="rId15" Type="http://schemas.openxmlformats.org/officeDocument/2006/relationships/hyperlink" Target="http://tengrinews.kz/zakon/docs?ngr=V1500010411" TargetMode="External"/><Relationship Id="rId10" Type="http://schemas.openxmlformats.org/officeDocument/2006/relationships/hyperlink" Target="http://tengrinews.kz/zakon/docs?ngr=V1500010411" TargetMode="External"/><Relationship Id="rId4" Type="http://schemas.openxmlformats.org/officeDocument/2006/relationships/hyperlink" Target="http://tengrinews.kz/zakon/docs?ngr=K090000193_" TargetMode="External"/><Relationship Id="rId9" Type="http://schemas.openxmlformats.org/officeDocument/2006/relationships/hyperlink" Target="http://tengrinews.kz/zakon/docs?ngr=V1500010411" TargetMode="External"/><Relationship Id="rId14" Type="http://schemas.openxmlformats.org/officeDocument/2006/relationships/hyperlink" Target="http://tengrinews.kz/zakon/docs?ngr=V1500010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5935</Words>
  <Characters>33834</Characters>
  <Application>Microsoft Office Word</Application>
  <DocSecurity>0</DocSecurity>
  <Lines>281</Lines>
  <Paragraphs>79</Paragraphs>
  <ScaleCrop>false</ScaleCrop>
  <Company>Microsoft</Company>
  <LinksUpToDate>false</LinksUpToDate>
  <CharactersWithSpaces>39690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2015-10-14T03:12:00Z</dcterms:created>
  <dcterms:modified xsi:type="dcterms:W3CDTF">2015-10-14T03:13:00Z</dcterms:modified>
</cp:coreProperties>
</file>